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685F" w:rsidR="00424840" w:rsidP="006C29B1" w:rsidRDefault="0078680C" w14:paraId="1A37DEDF" w14:textId="77777777">
      <w:pPr>
        <w:tabs>
          <w:tab w:val="right" w:pos="8505"/>
        </w:tabs>
        <w:jc w:val="right"/>
        <w:rPr>
          <w:rFonts w:ascii="Arial Narrow" w:hAnsi="Arial Narrow"/>
          <w:sz w:val="18"/>
          <w:lang w:val="de-DE"/>
        </w:rPr>
      </w:pPr>
      <w:r>
        <w:rPr>
          <w:rFonts w:ascii="Arial Narrow" w:hAnsi="Arial Narrow" w:eastAsia="Arial Narrow" w:cs="Arial Narrow"/>
          <w:sz w:val="18"/>
          <w:szCs w:val="18"/>
          <w:bdr w:val="nil"/>
          <w:lang w:val="de-DE"/>
        </w:rPr>
        <w:t>CRI(2018)06</w:t>
      </w:r>
    </w:p>
    <w:p w:rsidRPr="006C29B1" w:rsidR="00424840" w:rsidP="006C29B1" w:rsidRDefault="006C29B1" w14:paraId="6C6DC708" w14:textId="77777777">
      <w:pPr>
        <w:tabs>
          <w:tab w:val="right" w:pos="8505"/>
        </w:tabs>
        <w:jc w:val="right"/>
        <w:rPr>
          <w:rFonts w:ascii="Arial Narrow" w:hAnsi="Arial Narrow" w:eastAsia="Arial Narrow" w:cs="Arial Narrow"/>
          <w:sz w:val="18"/>
          <w:szCs w:val="18"/>
          <w:bdr w:val="nil"/>
          <w:lang w:val="de-DE"/>
        </w:rPr>
      </w:pPr>
      <w:r w:rsidRPr="006C29B1">
        <w:rPr>
          <w:rFonts w:ascii="Arial Narrow" w:hAnsi="Arial Narrow" w:eastAsia="Arial Narrow" w:cs="Arial Narrow"/>
          <w:sz w:val="18"/>
          <w:szCs w:val="18"/>
          <w:bdr w:val="nil"/>
          <w:lang w:val="de-DE"/>
        </w:rPr>
        <w:t>Version allemande</w:t>
      </w:r>
    </w:p>
    <w:p w:rsidRPr="006C29B1" w:rsidR="00424840" w:rsidP="006C29B1" w:rsidRDefault="006C29B1" w14:paraId="4A797CAF" w14:textId="77777777">
      <w:pPr>
        <w:tabs>
          <w:tab w:val="right" w:pos="8505"/>
        </w:tabs>
        <w:jc w:val="right"/>
        <w:rPr>
          <w:rFonts w:ascii="Arial Narrow" w:hAnsi="Arial Narrow" w:eastAsia="Arial Narrow" w:cs="Arial Narrow"/>
          <w:sz w:val="18"/>
          <w:szCs w:val="18"/>
          <w:bdr w:val="nil"/>
          <w:lang w:val="de-DE"/>
        </w:rPr>
      </w:pPr>
      <w:r w:rsidRPr="006C29B1">
        <w:rPr>
          <w:rFonts w:ascii="Arial Narrow" w:hAnsi="Arial Narrow" w:eastAsia="Arial Narrow" w:cs="Arial Narrow"/>
          <w:sz w:val="18"/>
          <w:szCs w:val="18"/>
          <w:bdr w:val="nil"/>
          <w:lang w:val="de-DE"/>
        </w:rPr>
        <w:t>German version</w:t>
      </w:r>
    </w:p>
    <w:p w:rsidRPr="00C0685F" w:rsidR="00424840" w:rsidP="00424840" w:rsidRDefault="00424840" w14:paraId="31B12C4D" w14:textId="77777777">
      <w:pPr>
        <w:ind w:left="2268"/>
        <w:rPr>
          <w:rFonts w:ascii="Arial Narrow" w:hAnsi="Arial Narrow"/>
          <w:color w:val="000000"/>
          <w:lang w:val="de-DE"/>
        </w:rPr>
      </w:pPr>
      <w:bookmarkStart w:name="_GoBack" w:id="0"/>
      <w:bookmarkEnd w:id="0"/>
    </w:p>
    <w:p w:rsidRPr="00C0685F" w:rsidR="00424840" w:rsidP="00424840" w:rsidRDefault="00424840" w14:paraId="74FD60EF" w14:textId="77777777">
      <w:pPr>
        <w:ind w:left="2268"/>
        <w:rPr>
          <w:rFonts w:ascii="Arial Narrow" w:hAnsi="Arial Narrow"/>
          <w:color w:val="000000"/>
          <w:lang w:val="de-DE"/>
        </w:rPr>
      </w:pPr>
    </w:p>
    <w:p w:rsidRPr="00C0685F" w:rsidR="00424840" w:rsidP="00424840" w:rsidRDefault="00424840" w14:paraId="377C9E4C" w14:textId="77777777">
      <w:pPr>
        <w:ind w:left="2268"/>
        <w:rPr>
          <w:rFonts w:ascii="Arial Narrow" w:hAnsi="Arial Narrow"/>
          <w:color w:val="000000"/>
          <w:lang w:val="de-DE"/>
        </w:rPr>
      </w:pPr>
    </w:p>
    <w:p w:rsidRPr="00C0685F" w:rsidR="00424840" w:rsidP="00424840" w:rsidRDefault="00424840" w14:paraId="42D18B9F" w14:textId="77777777">
      <w:pPr>
        <w:ind w:left="2268"/>
        <w:rPr>
          <w:rFonts w:ascii="Arial Narrow" w:hAnsi="Arial Narrow"/>
          <w:color w:val="000000"/>
          <w:lang w:val="de-DE"/>
        </w:rPr>
      </w:pPr>
    </w:p>
    <w:p w:rsidRPr="00C0685F" w:rsidR="00424840" w:rsidP="00424840" w:rsidRDefault="00424840" w14:paraId="7BE62D92" w14:textId="77777777">
      <w:pPr>
        <w:ind w:left="2268"/>
        <w:rPr>
          <w:rFonts w:ascii="Arial Narrow" w:hAnsi="Arial Narrow"/>
          <w:color w:val="000000"/>
          <w:lang w:val="de-DE"/>
        </w:rPr>
      </w:pPr>
    </w:p>
    <w:p w:rsidRPr="00C0685F" w:rsidR="00424840" w:rsidP="00424840" w:rsidRDefault="00424840" w14:paraId="486F3FF0" w14:textId="77777777">
      <w:pPr>
        <w:ind w:left="2268"/>
        <w:rPr>
          <w:rFonts w:ascii="Arial Narrow" w:hAnsi="Arial Narrow"/>
          <w:color w:val="000000"/>
          <w:lang w:val="de-DE"/>
        </w:rPr>
      </w:pPr>
    </w:p>
    <w:p w:rsidRPr="00C0685F" w:rsidR="00424840" w:rsidP="00424840" w:rsidRDefault="00424840" w14:paraId="6EF4A470" w14:textId="77777777">
      <w:pPr>
        <w:ind w:left="2268"/>
        <w:rPr>
          <w:rFonts w:ascii="Arial Narrow" w:hAnsi="Arial Narrow"/>
          <w:color w:val="000000"/>
          <w:lang w:val="de-DE"/>
        </w:rPr>
      </w:pPr>
    </w:p>
    <w:p w:rsidRPr="00C0685F" w:rsidR="00424840" w:rsidP="00424840" w:rsidRDefault="00424840" w14:paraId="3A555D1E" w14:textId="77777777">
      <w:pPr>
        <w:ind w:left="2268"/>
        <w:rPr>
          <w:rFonts w:ascii="Arial Narrow" w:hAnsi="Arial Narrow"/>
          <w:color w:val="000000"/>
          <w:lang w:val="de-DE"/>
        </w:rPr>
      </w:pPr>
    </w:p>
    <w:p w:rsidRPr="00C0685F" w:rsidR="00424840" w:rsidP="00424840" w:rsidRDefault="00424840" w14:paraId="77E20842" w14:textId="77777777">
      <w:pPr>
        <w:ind w:left="2268"/>
        <w:rPr>
          <w:rFonts w:ascii="Arial Narrow" w:hAnsi="Arial Narrow"/>
          <w:color w:val="000000"/>
          <w:lang w:val="de-DE"/>
        </w:rPr>
      </w:pPr>
    </w:p>
    <w:p w:rsidRPr="00C0685F" w:rsidR="00424840" w:rsidP="00424840" w:rsidRDefault="00424840" w14:paraId="3563CD4E" w14:textId="77777777">
      <w:pPr>
        <w:ind w:left="2268"/>
        <w:rPr>
          <w:rFonts w:ascii="Arial Narrow" w:hAnsi="Arial Narrow"/>
          <w:color w:val="000000"/>
          <w:lang w:val="de-DE"/>
        </w:rPr>
      </w:pPr>
    </w:p>
    <w:p w:rsidRPr="00C0685F" w:rsidR="00424840" w:rsidP="00424840" w:rsidRDefault="00424840" w14:paraId="50C7F098" w14:textId="77777777">
      <w:pPr>
        <w:ind w:left="2268" w:right="-1"/>
        <w:rPr>
          <w:rFonts w:ascii="Arial Narrow" w:hAnsi="Arial Narrow"/>
          <w:b/>
          <w:caps/>
          <w:sz w:val="32"/>
          <w:lang w:val="de-DE"/>
        </w:rPr>
      </w:pPr>
    </w:p>
    <w:p w:rsidRPr="00C0685F" w:rsidR="00C81821" w:rsidP="00424840" w:rsidRDefault="0078680C" w14:paraId="2165C718" w14:textId="611C427D">
      <w:pPr>
        <w:ind w:left="2268" w:right="-1"/>
        <w:rPr>
          <w:rFonts w:ascii="Arial Narrow" w:hAnsi="Arial Narrow"/>
          <w:b/>
          <w:caps/>
          <w:sz w:val="32"/>
          <w:lang w:val="de-DE"/>
        </w:rPr>
      </w:pPr>
      <w:r>
        <w:rPr>
          <w:rFonts w:ascii="Arial Narrow" w:hAnsi="Arial Narrow" w:eastAsia="Arial Narrow" w:cs="Arial Narrow"/>
          <w:b/>
          <w:bCs/>
          <w:caps/>
          <w:sz w:val="32"/>
          <w:szCs w:val="32"/>
          <w:bdr w:val="nil"/>
          <w:lang w:val="de-DE" w:eastAsia="en-US"/>
        </w:rPr>
        <w:t>Allgemeine politi</w:t>
      </w:r>
      <w:r w:rsidR="009B64FB">
        <w:rPr>
          <w:rFonts w:ascii="Arial Narrow" w:hAnsi="Arial Narrow" w:eastAsia="Arial Narrow" w:cs="Arial Narrow"/>
          <w:b/>
          <w:bCs/>
          <w:caps/>
          <w:sz w:val="32"/>
          <w:szCs w:val="32"/>
          <w:bdr w:val="nil"/>
          <w:lang w:val="de-DE" w:eastAsia="en-US"/>
        </w:rPr>
        <w:t>K</w:t>
      </w:r>
      <w:r>
        <w:rPr>
          <w:rFonts w:ascii="Arial Narrow" w:hAnsi="Arial Narrow" w:eastAsia="Arial Narrow" w:cs="Arial Narrow"/>
          <w:b/>
          <w:bCs/>
          <w:caps/>
          <w:sz w:val="32"/>
          <w:szCs w:val="32"/>
          <w:bdr w:val="nil"/>
          <w:lang w:val="de-DE" w:eastAsia="en-US"/>
        </w:rPr>
        <w:t xml:space="preserve">Empfehlung Nr. 2 </w:t>
      </w:r>
      <w:r w:rsidR="00252385">
        <w:rPr>
          <w:rFonts w:ascii="Arial Narrow" w:hAnsi="Arial Narrow" w:eastAsia="Arial Narrow" w:cs="Arial Narrow"/>
          <w:b/>
          <w:bCs/>
          <w:caps/>
          <w:sz w:val="32"/>
          <w:szCs w:val="32"/>
          <w:bdr w:val="nil"/>
          <w:lang w:val="de-DE" w:eastAsia="en-US"/>
        </w:rPr>
        <w:br/>
      </w:r>
      <w:r w:rsidR="00080D1F">
        <w:rPr>
          <w:rFonts w:ascii="Arial Narrow" w:hAnsi="Arial Narrow" w:eastAsia="Arial Narrow" w:cs="Arial Narrow"/>
          <w:b/>
          <w:bCs/>
          <w:caps/>
          <w:sz w:val="32"/>
          <w:szCs w:val="32"/>
          <w:bdr w:val="nil"/>
          <w:lang w:val="de-DE" w:eastAsia="en-US"/>
        </w:rPr>
        <w:t xml:space="preserve">DER </w:t>
      </w:r>
      <w:r>
        <w:rPr>
          <w:rFonts w:ascii="Arial Narrow" w:hAnsi="Arial Narrow" w:eastAsia="Arial Narrow" w:cs="Arial Narrow"/>
          <w:b/>
          <w:bCs/>
          <w:caps/>
          <w:sz w:val="32"/>
          <w:szCs w:val="32"/>
          <w:bdr w:val="nil"/>
          <w:lang w:val="de-DE" w:eastAsia="en-US"/>
        </w:rPr>
        <w:t>ECRI:</w:t>
      </w:r>
    </w:p>
    <w:p w:rsidRPr="00C0685F" w:rsidR="00C81821" w:rsidP="00424840" w:rsidRDefault="00C81821" w14:paraId="5893AF52" w14:textId="77777777">
      <w:pPr>
        <w:ind w:left="2268" w:right="-1"/>
        <w:rPr>
          <w:rFonts w:ascii="Arial Narrow" w:hAnsi="Arial Narrow"/>
          <w:b/>
          <w:caps/>
          <w:sz w:val="32"/>
          <w:lang w:val="de-DE"/>
        </w:rPr>
      </w:pPr>
    </w:p>
    <w:p w:rsidRPr="00C0685F" w:rsidR="00C81821" w:rsidP="00424840" w:rsidRDefault="00C90BFE" w14:paraId="34B9C132" w14:textId="142F9579">
      <w:pPr>
        <w:ind w:left="2268" w:right="-1"/>
        <w:rPr>
          <w:rFonts w:ascii="Arial Narrow" w:hAnsi="Arial Narrow"/>
          <w:b/>
          <w:caps/>
          <w:sz w:val="32"/>
          <w:lang w:val="de-DE"/>
        </w:rPr>
      </w:pPr>
      <w:r>
        <w:rPr>
          <w:rFonts w:ascii="Arial Narrow" w:hAnsi="Arial Narrow" w:eastAsia="Arial Narrow" w:cs="Arial Narrow"/>
          <w:b/>
          <w:bCs/>
          <w:caps/>
          <w:sz w:val="32"/>
          <w:szCs w:val="32"/>
          <w:bdr w:val="nil"/>
          <w:lang w:val="de-DE" w:eastAsia="en-US"/>
        </w:rPr>
        <w:t>Gleichheitsstelle</w:t>
      </w:r>
      <w:r w:rsidR="0078680C">
        <w:rPr>
          <w:rFonts w:ascii="Arial Narrow" w:hAnsi="Arial Narrow" w:eastAsia="Arial Narrow" w:cs="Arial Narrow"/>
          <w:b/>
          <w:bCs/>
          <w:caps/>
          <w:sz w:val="32"/>
          <w:szCs w:val="32"/>
          <w:bdr w:val="nil"/>
          <w:lang w:val="de-DE" w:eastAsia="en-US"/>
        </w:rPr>
        <w:t xml:space="preserve">n zur Bekämpfung von Rassismus und Intoleranz auf nationaler Ebene </w:t>
      </w:r>
      <w:r w:rsidR="0078680C">
        <w:rPr>
          <w:rFonts w:ascii="Arial Narrow" w:hAnsi="Arial Narrow" w:eastAsia="Arial Narrow" w:cs="Arial Narrow"/>
          <w:b/>
          <w:bCs/>
          <w:caps/>
          <w:sz w:val="32"/>
          <w:szCs w:val="32"/>
          <w:bdr w:val="nil"/>
          <w:lang w:val="de-DE" w:eastAsia="en-US"/>
        </w:rPr>
        <w:br/>
      </w:r>
    </w:p>
    <w:p w:rsidRPr="00C0685F" w:rsidR="00424840" w:rsidP="00424840" w:rsidRDefault="00424840" w14:paraId="55355DED" w14:textId="77777777">
      <w:pPr>
        <w:ind w:left="2268" w:right="-1"/>
        <w:rPr>
          <w:rFonts w:ascii="Arial Narrow" w:hAnsi="Arial Narrow"/>
          <w:b/>
          <w:caps/>
          <w:lang w:val="de-DE"/>
        </w:rPr>
      </w:pPr>
    </w:p>
    <w:p w:rsidRPr="00C0685F" w:rsidR="00424840" w:rsidP="00424840" w:rsidRDefault="00424840" w14:paraId="7B6120DD" w14:textId="77777777">
      <w:pPr>
        <w:ind w:left="2268" w:right="-1"/>
        <w:rPr>
          <w:rFonts w:ascii="Arial Narrow" w:hAnsi="Arial Narrow"/>
          <w:b/>
          <w:caps/>
          <w:lang w:val="de-DE"/>
        </w:rPr>
      </w:pPr>
    </w:p>
    <w:p w:rsidRPr="00C0685F" w:rsidR="00424840" w:rsidP="00424840" w:rsidRDefault="00424840" w14:paraId="5836C155" w14:textId="77777777">
      <w:pPr>
        <w:ind w:left="2268" w:right="-1"/>
        <w:rPr>
          <w:rFonts w:ascii="Arial Narrow" w:hAnsi="Arial Narrow"/>
          <w:b/>
          <w:caps/>
          <w:lang w:val="de-DE"/>
        </w:rPr>
      </w:pPr>
    </w:p>
    <w:p w:rsidRPr="00C0685F" w:rsidR="00511C2A" w:rsidP="00424840" w:rsidRDefault="0078680C" w14:paraId="47A3CE3E" w14:textId="77777777">
      <w:pPr>
        <w:ind w:left="2268" w:right="-1"/>
        <w:rPr>
          <w:rFonts w:ascii="Arial Narrow" w:hAnsi="Arial Narrow"/>
          <w:b/>
          <w:caps/>
          <w:lang w:val="de-DE"/>
        </w:rPr>
      </w:pPr>
      <w:r>
        <w:rPr>
          <w:rFonts w:ascii="Arial Narrow" w:hAnsi="Arial Narrow" w:eastAsia="Arial Narrow" w:cs="Arial Narrow"/>
          <w:b/>
          <w:bCs/>
          <w:caps/>
          <w:bdr w:val="nil"/>
          <w:lang w:val="de-DE" w:eastAsia="en-US"/>
        </w:rPr>
        <w:t>VERABSCHIEDET AM 7. DEZEMBER 2017</w:t>
      </w:r>
    </w:p>
    <w:p w:rsidRPr="00C0685F" w:rsidR="00424840" w:rsidP="00424840" w:rsidRDefault="00424840" w14:paraId="722BFDBB" w14:textId="77777777">
      <w:pPr>
        <w:ind w:left="3119" w:hanging="851"/>
        <w:rPr>
          <w:rFonts w:ascii="Arial Narrow" w:hAnsi="Arial Narrow"/>
          <w:b/>
          <w:sz w:val="18"/>
          <w:lang w:val="de-DE"/>
        </w:rPr>
      </w:pPr>
    </w:p>
    <w:p w:rsidRPr="00C0685F" w:rsidR="00424840" w:rsidP="00424840" w:rsidRDefault="00424840" w14:paraId="1CB1EDA4" w14:textId="77777777">
      <w:pPr>
        <w:ind w:left="3119" w:hanging="851"/>
        <w:rPr>
          <w:rFonts w:ascii="Arial Narrow" w:hAnsi="Arial Narrow"/>
          <w:b/>
          <w:sz w:val="22"/>
          <w:lang w:val="de-DE"/>
        </w:rPr>
      </w:pPr>
    </w:p>
    <w:p w:rsidRPr="00C0685F" w:rsidR="00424840" w:rsidP="00424840" w:rsidRDefault="00424840" w14:paraId="70F6660C" w14:textId="77777777">
      <w:pPr>
        <w:ind w:left="3119" w:hanging="851"/>
        <w:rPr>
          <w:rFonts w:ascii="Arial Narrow" w:hAnsi="Arial Narrow"/>
          <w:b/>
          <w:sz w:val="22"/>
          <w:lang w:val="de-DE"/>
        </w:rPr>
      </w:pPr>
    </w:p>
    <w:p w:rsidRPr="00C0685F" w:rsidR="00424840" w:rsidP="00424840" w:rsidRDefault="00424840" w14:paraId="37B5C06A" w14:textId="77777777">
      <w:pPr>
        <w:ind w:left="3119" w:hanging="851"/>
        <w:rPr>
          <w:rFonts w:ascii="Arial Narrow" w:hAnsi="Arial Narrow"/>
          <w:b/>
          <w:sz w:val="22"/>
          <w:lang w:val="de-DE"/>
        </w:rPr>
      </w:pPr>
    </w:p>
    <w:p w:rsidRPr="00C0685F" w:rsidR="00424840" w:rsidP="00424840" w:rsidRDefault="00424840" w14:paraId="52A36545" w14:textId="77777777">
      <w:pPr>
        <w:ind w:left="3119" w:hanging="851"/>
        <w:rPr>
          <w:rFonts w:ascii="Arial Narrow" w:hAnsi="Arial Narrow"/>
          <w:b/>
          <w:sz w:val="22"/>
          <w:lang w:val="de-DE"/>
        </w:rPr>
      </w:pPr>
    </w:p>
    <w:p w:rsidRPr="00C0685F" w:rsidR="00424840" w:rsidP="00424840" w:rsidRDefault="00424840" w14:paraId="6170DBD6" w14:textId="77777777">
      <w:pPr>
        <w:ind w:left="3119" w:hanging="851"/>
        <w:rPr>
          <w:rFonts w:ascii="Arial Narrow" w:hAnsi="Arial Narrow"/>
          <w:b/>
          <w:sz w:val="22"/>
          <w:lang w:val="de-DE"/>
        </w:rPr>
      </w:pPr>
    </w:p>
    <w:p w:rsidRPr="00C0685F" w:rsidR="00424840" w:rsidP="00424840" w:rsidRDefault="00424840" w14:paraId="41AE7D6E" w14:textId="77777777">
      <w:pPr>
        <w:ind w:left="3119" w:hanging="851"/>
        <w:rPr>
          <w:rFonts w:ascii="Arial Narrow" w:hAnsi="Arial Narrow"/>
          <w:b/>
          <w:sz w:val="22"/>
          <w:lang w:val="de-DE"/>
        </w:rPr>
      </w:pPr>
    </w:p>
    <w:p w:rsidRPr="00C0685F" w:rsidR="00424840" w:rsidP="00424840" w:rsidRDefault="00424840" w14:paraId="5E0EB2E3" w14:textId="77777777">
      <w:pPr>
        <w:ind w:left="3119" w:hanging="851"/>
        <w:rPr>
          <w:rFonts w:ascii="Arial Narrow" w:hAnsi="Arial Narrow"/>
          <w:b/>
          <w:sz w:val="22"/>
          <w:lang w:val="de-DE"/>
        </w:rPr>
      </w:pPr>
    </w:p>
    <w:p w:rsidRPr="00C0685F" w:rsidR="00424840" w:rsidP="00424840" w:rsidRDefault="00424840" w14:paraId="74F184B4" w14:textId="77777777">
      <w:pPr>
        <w:ind w:left="3119" w:hanging="851"/>
        <w:rPr>
          <w:rFonts w:ascii="Arial Narrow" w:hAnsi="Arial Narrow"/>
          <w:b/>
          <w:sz w:val="22"/>
          <w:lang w:val="de-DE"/>
        </w:rPr>
      </w:pPr>
    </w:p>
    <w:p w:rsidRPr="00C0685F" w:rsidR="00424840" w:rsidP="00424840" w:rsidRDefault="00424840" w14:paraId="707CF036" w14:textId="77777777">
      <w:pPr>
        <w:ind w:left="3119" w:hanging="851"/>
        <w:rPr>
          <w:rFonts w:ascii="Arial Narrow" w:hAnsi="Arial Narrow"/>
          <w:b/>
          <w:sz w:val="22"/>
          <w:lang w:val="de-DE"/>
        </w:rPr>
      </w:pPr>
    </w:p>
    <w:p w:rsidRPr="00C0685F" w:rsidR="00424840" w:rsidP="00424840" w:rsidRDefault="00424840" w14:paraId="04184D85" w14:textId="77777777">
      <w:pPr>
        <w:ind w:left="3119" w:hanging="851"/>
        <w:rPr>
          <w:rFonts w:ascii="Arial Narrow" w:hAnsi="Arial Narrow"/>
          <w:sz w:val="16"/>
          <w:lang w:val="de-DE"/>
        </w:rPr>
      </w:pPr>
    </w:p>
    <w:p w:rsidRPr="00C0685F" w:rsidR="00424840" w:rsidP="00424840" w:rsidRDefault="00424840" w14:paraId="33628B35" w14:textId="77777777">
      <w:pPr>
        <w:ind w:left="3119" w:hanging="851"/>
        <w:rPr>
          <w:rFonts w:ascii="Arial Narrow" w:hAnsi="Arial Narrow"/>
          <w:sz w:val="16"/>
          <w:lang w:val="de-DE"/>
        </w:rPr>
      </w:pPr>
    </w:p>
    <w:p w:rsidRPr="00C0685F" w:rsidR="00424840" w:rsidP="00424840" w:rsidRDefault="00424840" w14:paraId="66834A51" w14:textId="77777777">
      <w:pPr>
        <w:ind w:left="3119" w:hanging="851"/>
        <w:rPr>
          <w:rFonts w:ascii="Arial Narrow" w:hAnsi="Arial Narrow"/>
          <w:sz w:val="16"/>
          <w:lang w:val="de-DE"/>
        </w:rPr>
      </w:pPr>
    </w:p>
    <w:p w:rsidRPr="00C0685F" w:rsidR="00424840" w:rsidP="00424840" w:rsidRDefault="00424840" w14:paraId="55C6EC00" w14:textId="77777777">
      <w:pPr>
        <w:ind w:left="3119" w:hanging="851"/>
        <w:rPr>
          <w:rFonts w:ascii="Arial Narrow" w:hAnsi="Arial Narrow"/>
          <w:sz w:val="16"/>
          <w:lang w:val="de-DE"/>
        </w:rPr>
      </w:pPr>
    </w:p>
    <w:p w:rsidRPr="00C0685F" w:rsidR="00424840" w:rsidP="00424840" w:rsidRDefault="00424840" w14:paraId="4B58AF64" w14:textId="77777777">
      <w:pPr>
        <w:ind w:left="3119" w:hanging="851"/>
        <w:rPr>
          <w:rFonts w:ascii="Arial Narrow" w:hAnsi="Arial Narrow"/>
          <w:sz w:val="16"/>
          <w:lang w:val="de-DE"/>
        </w:rPr>
      </w:pPr>
    </w:p>
    <w:p w:rsidRPr="00C0685F" w:rsidR="00424840" w:rsidP="00424840" w:rsidRDefault="00424840" w14:paraId="244D5EAE" w14:textId="77777777">
      <w:pPr>
        <w:ind w:left="3119" w:hanging="851"/>
        <w:rPr>
          <w:rFonts w:ascii="Arial Narrow" w:hAnsi="Arial Narrow"/>
          <w:sz w:val="16"/>
          <w:lang w:val="de-DE"/>
        </w:rPr>
      </w:pPr>
    </w:p>
    <w:p w:rsidRPr="00C0685F" w:rsidR="00424840" w:rsidP="00424840" w:rsidRDefault="00424840" w14:paraId="4735FA66" w14:textId="77777777">
      <w:pPr>
        <w:ind w:left="3119" w:hanging="851"/>
        <w:rPr>
          <w:rFonts w:ascii="Arial Narrow" w:hAnsi="Arial Narrow"/>
          <w:sz w:val="16"/>
          <w:lang w:val="de-DE"/>
        </w:rPr>
      </w:pPr>
    </w:p>
    <w:p w:rsidRPr="00C0685F" w:rsidR="00424840" w:rsidP="00424840" w:rsidRDefault="00424840" w14:paraId="7CD3F5F0" w14:textId="77777777">
      <w:pPr>
        <w:ind w:left="3119" w:hanging="851"/>
        <w:rPr>
          <w:rFonts w:ascii="Arial Narrow" w:hAnsi="Arial Narrow"/>
          <w:sz w:val="16"/>
          <w:lang w:val="de-DE"/>
        </w:rPr>
      </w:pPr>
    </w:p>
    <w:p w:rsidRPr="00C0685F" w:rsidR="00424840" w:rsidP="00424840" w:rsidRDefault="0078680C" w14:paraId="6A8F050D" w14:textId="77777777">
      <w:pPr>
        <w:ind w:left="3119" w:right="1983" w:hanging="851"/>
        <w:rPr>
          <w:rFonts w:ascii="Arial Narrow" w:hAnsi="Arial Narrow"/>
          <w:lang w:val="de-DE"/>
        </w:rPr>
      </w:pPr>
      <w:r>
        <w:rPr>
          <w:rFonts w:ascii="Arial Narrow" w:hAnsi="Arial Narrow" w:eastAsia="Arial Narrow" w:cs="Arial Narrow"/>
          <w:iCs/>
          <w:bdr w:val="nil"/>
          <w:lang w:val="de-DE" w:eastAsia="fr-FR"/>
        </w:rPr>
        <w:t>Straßburg, 27. Februar 2018</w:t>
      </w:r>
      <w:r>
        <w:rPr>
          <w:rFonts w:ascii="Arial Narrow" w:hAnsi="Arial Narrow" w:eastAsia="Arial Narrow" w:cs="Arial Narrow"/>
          <w:iCs/>
          <w:bdr w:val="nil"/>
          <w:lang w:val="de-DE" w:eastAsia="fr-FR"/>
        </w:rPr>
        <w:br w:type="page"/>
      </w:r>
    </w:p>
    <w:p w:rsidRPr="00C0685F" w:rsidR="00424840" w:rsidP="00424840" w:rsidRDefault="00424840" w14:paraId="0BC1B026" w14:textId="77777777">
      <w:pPr>
        <w:ind w:left="2268"/>
        <w:rPr>
          <w:rFonts w:ascii="Arial" w:hAnsi="Arial"/>
          <w:lang w:val="de-DE"/>
        </w:rPr>
      </w:pPr>
    </w:p>
    <w:p w:rsidRPr="00C0685F" w:rsidR="00424840" w:rsidP="00424840" w:rsidRDefault="00424840" w14:paraId="208F4EEA" w14:textId="77777777">
      <w:pPr>
        <w:rPr>
          <w:rFonts w:ascii="Arial" w:hAnsi="Arial"/>
          <w:lang w:val="de-DE"/>
        </w:rPr>
      </w:pPr>
    </w:p>
    <w:p w:rsidRPr="00C0685F" w:rsidR="00424840" w:rsidP="00424840" w:rsidRDefault="00424840" w14:paraId="34D327D2" w14:textId="77777777">
      <w:pPr>
        <w:rPr>
          <w:rFonts w:ascii="Arial" w:hAnsi="Arial"/>
          <w:lang w:val="de-DE"/>
        </w:rPr>
      </w:pPr>
    </w:p>
    <w:p w:rsidRPr="00C0685F" w:rsidR="00424840" w:rsidP="00424840" w:rsidRDefault="00424840" w14:paraId="23AB81B3" w14:textId="77777777">
      <w:pPr>
        <w:rPr>
          <w:rFonts w:ascii="Arial" w:hAnsi="Arial"/>
          <w:lang w:val="de-DE"/>
        </w:rPr>
      </w:pPr>
    </w:p>
    <w:p w:rsidRPr="00C0685F" w:rsidR="00424840" w:rsidP="00424840" w:rsidRDefault="00424840" w14:paraId="059B84C6" w14:textId="77777777">
      <w:pPr>
        <w:rPr>
          <w:rFonts w:ascii="Arial" w:hAnsi="Arial"/>
          <w:lang w:val="de-DE"/>
        </w:rPr>
      </w:pPr>
    </w:p>
    <w:p w:rsidRPr="00C0685F" w:rsidR="00424840" w:rsidP="00424840" w:rsidRDefault="00424840" w14:paraId="3A41641D" w14:textId="77777777">
      <w:pPr>
        <w:rPr>
          <w:rFonts w:ascii="Arial" w:hAnsi="Arial"/>
          <w:lang w:val="de-DE"/>
        </w:rPr>
      </w:pPr>
    </w:p>
    <w:p w:rsidRPr="00C0685F" w:rsidR="00424840" w:rsidP="00424840" w:rsidRDefault="00424840" w14:paraId="79AA919C" w14:textId="77777777">
      <w:pPr>
        <w:rPr>
          <w:rFonts w:ascii="Arial" w:hAnsi="Arial"/>
          <w:lang w:val="de-DE"/>
        </w:rPr>
      </w:pPr>
    </w:p>
    <w:p w:rsidRPr="00C0685F" w:rsidR="00424840" w:rsidP="00424840" w:rsidRDefault="00424840" w14:paraId="1FA10F26" w14:textId="77777777">
      <w:pPr>
        <w:rPr>
          <w:rFonts w:ascii="Arial" w:hAnsi="Arial"/>
          <w:lang w:val="de-DE"/>
        </w:rPr>
      </w:pPr>
    </w:p>
    <w:p w:rsidRPr="00C0685F" w:rsidR="00424840" w:rsidP="00424840" w:rsidRDefault="00424840" w14:paraId="00CEF9DA" w14:textId="77777777">
      <w:pPr>
        <w:rPr>
          <w:rFonts w:ascii="Arial" w:hAnsi="Arial"/>
          <w:lang w:val="de-DE"/>
        </w:rPr>
      </w:pPr>
    </w:p>
    <w:p w:rsidRPr="00C0685F" w:rsidR="00424840" w:rsidP="00424840" w:rsidRDefault="00424840" w14:paraId="1F53D9E4" w14:textId="77777777">
      <w:pPr>
        <w:rPr>
          <w:rFonts w:ascii="Arial" w:hAnsi="Arial"/>
          <w:lang w:val="de-DE"/>
        </w:rPr>
      </w:pPr>
    </w:p>
    <w:p w:rsidRPr="00C0685F" w:rsidR="00424840" w:rsidP="00424840" w:rsidRDefault="00424840" w14:paraId="6EDAD46C" w14:textId="77777777">
      <w:pPr>
        <w:rPr>
          <w:rFonts w:ascii="Arial" w:hAnsi="Arial"/>
          <w:lang w:val="de-DE"/>
        </w:rPr>
      </w:pPr>
    </w:p>
    <w:p w:rsidRPr="00C0685F" w:rsidR="00424840" w:rsidP="00424840" w:rsidRDefault="00424840" w14:paraId="5C141B59" w14:textId="77777777">
      <w:pPr>
        <w:rPr>
          <w:rFonts w:ascii="Arial" w:hAnsi="Arial"/>
          <w:lang w:val="de-DE"/>
        </w:rPr>
      </w:pPr>
    </w:p>
    <w:p w:rsidRPr="00C0685F" w:rsidR="00424840" w:rsidP="00424840" w:rsidRDefault="00424840" w14:paraId="0A69FAFB" w14:textId="77777777">
      <w:pPr>
        <w:rPr>
          <w:rFonts w:ascii="Arial" w:hAnsi="Arial"/>
          <w:lang w:val="de-DE"/>
        </w:rPr>
      </w:pPr>
    </w:p>
    <w:p w:rsidRPr="00C0685F" w:rsidR="00424840" w:rsidP="00424840" w:rsidRDefault="00424840" w14:paraId="1ECE13E7" w14:textId="77777777">
      <w:pPr>
        <w:rPr>
          <w:rFonts w:ascii="Arial" w:hAnsi="Arial"/>
          <w:lang w:val="de-DE"/>
        </w:rPr>
      </w:pPr>
    </w:p>
    <w:p w:rsidRPr="00C0685F" w:rsidR="00424840" w:rsidP="00424840" w:rsidRDefault="00424840" w14:paraId="62DE388B" w14:textId="77777777">
      <w:pPr>
        <w:rPr>
          <w:rFonts w:ascii="Arial" w:hAnsi="Arial"/>
          <w:lang w:val="de-DE"/>
        </w:rPr>
      </w:pPr>
    </w:p>
    <w:p w:rsidRPr="00C0685F" w:rsidR="00424840" w:rsidP="00424840" w:rsidRDefault="00424840" w14:paraId="022C0C1C" w14:textId="77777777">
      <w:pPr>
        <w:rPr>
          <w:rFonts w:ascii="Arial" w:hAnsi="Arial"/>
          <w:lang w:val="de-DE"/>
        </w:rPr>
      </w:pPr>
    </w:p>
    <w:p w:rsidRPr="00C0685F" w:rsidR="00424840" w:rsidP="00424840" w:rsidRDefault="00424840" w14:paraId="6ED938F4" w14:textId="77777777">
      <w:pPr>
        <w:rPr>
          <w:rFonts w:ascii="Arial" w:hAnsi="Arial"/>
          <w:lang w:val="de-DE"/>
        </w:rPr>
      </w:pPr>
    </w:p>
    <w:p w:rsidRPr="00C0685F" w:rsidR="00424840" w:rsidP="00424840" w:rsidRDefault="00424840" w14:paraId="1E6ADDFC" w14:textId="77777777">
      <w:pPr>
        <w:rPr>
          <w:rFonts w:ascii="Arial" w:hAnsi="Arial"/>
          <w:lang w:val="de-DE"/>
        </w:rPr>
      </w:pPr>
    </w:p>
    <w:p w:rsidRPr="00C0685F" w:rsidR="00424840" w:rsidP="00424840" w:rsidRDefault="00424840" w14:paraId="04D2C1FA" w14:textId="77777777">
      <w:pPr>
        <w:rPr>
          <w:rFonts w:ascii="Arial" w:hAnsi="Arial"/>
          <w:lang w:val="de-DE"/>
        </w:rPr>
      </w:pPr>
    </w:p>
    <w:p w:rsidRPr="00C0685F" w:rsidR="00424840" w:rsidP="00424840" w:rsidRDefault="00424840" w14:paraId="2468347E" w14:textId="77777777">
      <w:pPr>
        <w:rPr>
          <w:rFonts w:ascii="Arial" w:hAnsi="Arial"/>
          <w:lang w:val="de-DE"/>
        </w:rPr>
      </w:pPr>
    </w:p>
    <w:p w:rsidRPr="00C0685F" w:rsidR="00424840" w:rsidP="00424840" w:rsidRDefault="00424840" w14:paraId="4CB280BE" w14:textId="77777777">
      <w:pPr>
        <w:rPr>
          <w:rFonts w:ascii="Arial" w:hAnsi="Arial"/>
          <w:lang w:val="de-DE"/>
        </w:rPr>
      </w:pPr>
    </w:p>
    <w:p w:rsidRPr="00C0685F" w:rsidR="00424840" w:rsidP="00424840" w:rsidRDefault="00424840" w14:paraId="7701D0FC" w14:textId="77777777">
      <w:pPr>
        <w:rPr>
          <w:rFonts w:ascii="Arial" w:hAnsi="Arial"/>
          <w:lang w:val="de-DE"/>
        </w:rPr>
      </w:pPr>
    </w:p>
    <w:p w:rsidRPr="00C0685F" w:rsidR="00424840" w:rsidP="00424840" w:rsidRDefault="00424840" w14:paraId="1BBB5D31" w14:textId="77777777">
      <w:pPr>
        <w:rPr>
          <w:rFonts w:ascii="Arial" w:hAnsi="Arial"/>
          <w:lang w:val="de-DE"/>
        </w:rPr>
      </w:pPr>
    </w:p>
    <w:p w:rsidRPr="00C0685F" w:rsidR="00424840" w:rsidP="00424840" w:rsidRDefault="00424840" w14:paraId="7DF2EE33" w14:textId="77777777">
      <w:pPr>
        <w:rPr>
          <w:rFonts w:ascii="Arial" w:hAnsi="Arial"/>
          <w:lang w:val="de-DE"/>
        </w:rPr>
      </w:pPr>
    </w:p>
    <w:p w:rsidRPr="00C0685F" w:rsidR="00424840" w:rsidP="00424840" w:rsidRDefault="00424840" w14:paraId="6BA90CB7" w14:textId="77777777">
      <w:pPr>
        <w:rPr>
          <w:rFonts w:ascii="Arial" w:hAnsi="Arial"/>
          <w:lang w:val="de-DE"/>
        </w:rPr>
      </w:pPr>
    </w:p>
    <w:p w:rsidRPr="00C0685F" w:rsidR="00424840" w:rsidP="00424840" w:rsidRDefault="00424840" w14:paraId="4F59C1CA" w14:textId="77777777">
      <w:pPr>
        <w:rPr>
          <w:rFonts w:ascii="Arial" w:hAnsi="Arial"/>
          <w:lang w:val="de-DE"/>
        </w:rPr>
      </w:pPr>
    </w:p>
    <w:p w:rsidRPr="00C0685F" w:rsidR="00424840" w:rsidP="00424840" w:rsidRDefault="00424840" w14:paraId="416C3F38" w14:textId="77777777">
      <w:pPr>
        <w:rPr>
          <w:rFonts w:ascii="Arial" w:hAnsi="Arial"/>
          <w:lang w:val="de-DE"/>
        </w:rPr>
      </w:pPr>
    </w:p>
    <w:p w:rsidRPr="00C0685F" w:rsidR="00424840" w:rsidP="00424840" w:rsidRDefault="00424840" w14:paraId="70C22334" w14:textId="77777777">
      <w:pPr>
        <w:rPr>
          <w:rFonts w:ascii="Arial" w:hAnsi="Arial"/>
          <w:lang w:val="de-DE"/>
        </w:rPr>
      </w:pPr>
    </w:p>
    <w:p w:rsidRPr="00C0685F" w:rsidR="00424840" w:rsidP="00424840" w:rsidRDefault="00424840" w14:paraId="62CD7641" w14:textId="77777777">
      <w:pPr>
        <w:rPr>
          <w:rFonts w:ascii="Arial" w:hAnsi="Arial"/>
          <w:lang w:val="de-DE"/>
        </w:rPr>
      </w:pPr>
    </w:p>
    <w:p w:rsidRPr="00C0685F" w:rsidR="00424840" w:rsidP="00424840" w:rsidRDefault="00424840" w14:paraId="7F3E78E5" w14:textId="77777777">
      <w:pPr>
        <w:rPr>
          <w:rFonts w:ascii="Arial" w:hAnsi="Arial"/>
          <w:lang w:val="de-DE"/>
        </w:rPr>
      </w:pPr>
    </w:p>
    <w:p w:rsidRPr="00C0685F" w:rsidR="00424840" w:rsidP="00424840" w:rsidRDefault="00424840" w14:paraId="1AB0EEDE" w14:textId="77777777">
      <w:pPr>
        <w:rPr>
          <w:rFonts w:ascii="Arial" w:hAnsi="Arial"/>
          <w:lang w:val="de-DE"/>
        </w:rPr>
      </w:pPr>
    </w:p>
    <w:p w:rsidRPr="00C0685F" w:rsidR="00ED38BA" w:rsidP="00424840" w:rsidRDefault="00ED38BA" w14:paraId="10C86FED" w14:textId="77777777">
      <w:pPr>
        <w:rPr>
          <w:rFonts w:ascii="Arial" w:hAnsi="Arial"/>
          <w:lang w:val="de-DE"/>
        </w:rPr>
      </w:pPr>
    </w:p>
    <w:p w:rsidRPr="00C0685F" w:rsidR="00ED38BA" w:rsidP="00424840" w:rsidRDefault="00ED38BA" w14:paraId="747A9031" w14:textId="77777777">
      <w:pPr>
        <w:rPr>
          <w:rFonts w:ascii="Arial" w:hAnsi="Arial"/>
          <w:lang w:val="de-DE"/>
        </w:rPr>
      </w:pPr>
    </w:p>
    <w:p w:rsidRPr="00C0685F" w:rsidR="00ED38BA" w:rsidP="00424840" w:rsidRDefault="00ED38BA" w14:paraId="1CFA9161" w14:textId="77777777">
      <w:pPr>
        <w:rPr>
          <w:rFonts w:ascii="Arial" w:hAnsi="Arial"/>
          <w:lang w:val="de-DE"/>
        </w:rPr>
      </w:pPr>
    </w:p>
    <w:p w:rsidRPr="00C0685F" w:rsidR="00ED38BA" w:rsidP="00424840" w:rsidRDefault="00ED38BA" w14:paraId="53A7E72A" w14:textId="77777777">
      <w:pPr>
        <w:rPr>
          <w:rFonts w:ascii="Arial" w:hAnsi="Arial"/>
          <w:lang w:val="de-DE"/>
        </w:rPr>
      </w:pPr>
    </w:p>
    <w:p w:rsidRPr="00C0685F" w:rsidR="00424840" w:rsidP="00424840" w:rsidRDefault="00424840" w14:paraId="6B5C278C" w14:textId="77777777">
      <w:pPr>
        <w:rPr>
          <w:rFonts w:ascii="Arial" w:hAnsi="Arial"/>
          <w:lang w:val="de-DE"/>
        </w:rPr>
      </w:pPr>
    </w:p>
    <w:p w:rsidRPr="00C0685F" w:rsidR="00424840" w:rsidP="00424840" w:rsidRDefault="00424840" w14:paraId="49661846" w14:textId="77777777">
      <w:pPr>
        <w:rPr>
          <w:rFonts w:ascii="Arial" w:hAnsi="Arial"/>
          <w:lang w:val="de-DE"/>
        </w:rPr>
      </w:pPr>
    </w:p>
    <w:p w:rsidRPr="00C0685F" w:rsidR="00424840" w:rsidP="00424840" w:rsidRDefault="00424840" w14:paraId="6CBE1D5A" w14:textId="77777777">
      <w:pPr>
        <w:rPr>
          <w:rFonts w:ascii="Arial" w:hAnsi="Arial"/>
          <w:lang w:val="de-DE"/>
        </w:rPr>
      </w:pPr>
    </w:p>
    <w:p w:rsidRPr="00C0685F" w:rsidR="00424840" w:rsidP="00424840" w:rsidRDefault="00424840" w14:paraId="5479036D" w14:textId="77777777">
      <w:pPr>
        <w:rPr>
          <w:rFonts w:ascii="Arial" w:hAnsi="Arial"/>
          <w:lang w:val="de-DE"/>
        </w:rPr>
      </w:pPr>
    </w:p>
    <w:p w:rsidRPr="00C0685F" w:rsidR="00424840" w:rsidP="00424840" w:rsidRDefault="00424840" w14:paraId="41853EA5" w14:textId="77777777">
      <w:pPr>
        <w:rPr>
          <w:rFonts w:ascii="Arial" w:hAnsi="Arial"/>
          <w:lang w:val="de-DE"/>
        </w:rPr>
      </w:pPr>
    </w:p>
    <w:p w:rsidRPr="00C0685F" w:rsidR="00424840" w:rsidP="00424840" w:rsidRDefault="00424840" w14:paraId="2FC115CF" w14:textId="77777777">
      <w:pPr>
        <w:rPr>
          <w:rFonts w:ascii="Arial" w:hAnsi="Arial"/>
          <w:lang w:val="de-DE"/>
        </w:rPr>
      </w:pPr>
    </w:p>
    <w:p w:rsidRPr="00C0685F" w:rsidR="00424840" w:rsidP="00424840" w:rsidRDefault="00424840" w14:paraId="1D6E862F" w14:textId="77777777">
      <w:pPr>
        <w:rPr>
          <w:rFonts w:ascii="Arial" w:hAnsi="Arial"/>
          <w:lang w:val="de-DE"/>
        </w:rPr>
      </w:pPr>
    </w:p>
    <w:p w:rsidRPr="00C0685F" w:rsidR="00424840" w:rsidP="00424840" w:rsidRDefault="00424840" w14:paraId="341E86B3" w14:textId="77777777">
      <w:pPr>
        <w:rPr>
          <w:rFonts w:ascii="Arial" w:hAnsi="Arial"/>
          <w:lang w:val="de-DE"/>
        </w:rPr>
      </w:pPr>
    </w:p>
    <w:p w:rsidRPr="00C0685F" w:rsidR="00424840" w:rsidP="00424840" w:rsidRDefault="00424840" w14:paraId="122261C3" w14:textId="77777777">
      <w:pPr>
        <w:rPr>
          <w:rFonts w:ascii="Arial" w:hAnsi="Arial"/>
          <w:lang w:val="de-DE"/>
        </w:rPr>
      </w:pPr>
    </w:p>
    <w:p w:rsidRPr="00C0685F" w:rsidR="00424840" w:rsidP="00424840" w:rsidRDefault="0078680C" w14:paraId="4C0D3C6C" w14:textId="77777777">
      <w:pPr>
        <w:suppressAutoHyphens/>
        <w:ind w:right="-653"/>
        <w:rPr>
          <w:rFonts w:ascii="Arial" w:hAnsi="Arial"/>
          <w:sz w:val="20"/>
          <w:lang w:val="de-DE"/>
        </w:rPr>
      </w:pPr>
      <w:r>
        <w:rPr>
          <w:rFonts w:ascii="Arial" w:hAnsi="Arial" w:eastAsia="Arial" w:cs="Arial"/>
          <w:sz w:val="20"/>
          <w:szCs w:val="20"/>
          <w:bdr w:val="nil"/>
          <w:lang w:val="de-DE"/>
        </w:rPr>
        <w:t xml:space="preserve">Veröffentlichung: </w:t>
      </w:r>
    </w:p>
    <w:p w:rsidRPr="00C0685F" w:rsidR="00424840" w:rsidP="00424840" w:rsidRDefault="0078680C" w14:paraId="32D3D91F" w14:textId="77777777">
      <w:pPr>
        <w:suppressAutoHyphens/>
        <w:ind w:right="-653"/>
        <w:rPr>
          <w:rFonts w:ascii="Arial" w:hAnsi="Arial"/>
          <w:sz w:val="20"/>
          <w:lang w:val="de-DE"/>
        </w:rPr>
      </w:pPr>
      <w:r>
        <w:rPr>
          <w:rFonts w:ascii="Arial" w:hAnsi="Arial" w:eastAsia="Arial" w:cs="Arial"/>
          <w:sz w:val="20"/>
          <w:szCs w:val="20"/>
          <w:bdr w:val="nil"/>
          <w:lang w:val="de-DE"/>
        </w:rPr>
        <w:t xml:space="preserve">Europäische Kommission gegen Rassismus und Intoleranz (ECRI) </w:t>
      </w:r>
    </w:p>
    <w:p w:rsidRPr="00C0685F" w:rsidR="00424840" w:rsidP="00424840" w:rsidRDefault="0078680C" w14:paraId="043D4498" w14:textId="77777777">
      <w:pPr>
        <w:suppressAutoHyphens/>
        <w:ind w:right="-653"/>
        <w:rPr>
          <w:rFonts w:ascii="Arial" w:hAnsi="Arial"/>
          <w:sz w:val="20"/>
          <w:lang w:val="de-DE"/>
        </w:rPr>
      </w:pPr>
      <w:r>
        <w:rPr>
          <w:rFonts w:ascii="Arial" w:hAnsi="Arial" w:eastAsia="Arial" w:cs="Arial"/>
          <w:sz w:val="20"/>
          <w:szCs w:val="20"/>
          <w:bdr w:val="nil"/>
          <w:lang w:val="de-DE"/>
        </w:rPr>
        <w:t>Europarat - 2018</w:t>
      </w:r>
    </w:p>
    <w:p w:rsidRPr="00C0685F" w:rsidR="00424840" w:rsidP="00424840" w:rsidRDefault="0078680C" w14:paraId="3D7D35E3" w14:textId="77777777">
      <w:pPr>
        <w:suppressAutoHyphens/>
        <w:ind w:right="-653"/>
        <w:rPr>
          <w:rFonts w:ascii="Arial Narrow" w:hAnsi="Arial Narrow"/>
          <w:b/>
          <w:caps/>
          <w:lang w:val="de-DE"/>
        </w:rPr>
      </w:pPr>
      <w:r>
        <w:rPr>
          <w:rFonts w:ascii="Arial" w:hAnsi="Arial" w:eastAsia="Arial" w:cs="Arial"/>
          <w:sz w:val="20"/>
          <w:szCs w:val="20"/>
          <w:bdr w:val="nil"/>
          <w:lang w:val="de-DE"/>
        </w:rPr>
        <w:t>Gedruckt in Straßburg</w:t>
      </w:r>
    </w:p>
    <w:p w:rsidRPr="00C0685F" w:rsidR="00DD016F" w:rsidP="00424840" w:rsidRDefault="00DD016F" w14:paraId="078927ED" w14:textId="77777777">
      <w:pPr>
        <w:ind w:left="2268" w:right="-1"/>
        <w:rPr>
          <w:rFonts w:ascii="Arial Narrow" w:hAnsi="Arial Narrow"/>
          <w:b/>
          <w:caps/>
          <w:lang w:val="de-DE"/>
        </w:rPr>
        <w:sectPr w:rsidRPr="00C0685F" w:rsidR="00DD016F" w:rsidSect="00ED38BA">
          <w:headerReference w:type="default" r:id="rId12"/>
          <w:footerReference w:type="default" r:id="rId13"/>
          <w:headerReference w:type="first" r:id="rId14"/>
          <w:footerReference w:type="first" r:id="rId15"/>
          <w:pgSz w:w="11907" w:h="16840" w:code="9"/>
          <w:pgMar w:top="1418" w:right="1418" w:bottom="1418" w:left="1418" w:header="709" w:footer="709" w:gutter="0"/>
          <w:cols w:space="720"/>
          <w:formProt w:val="0"/>
          <w:titlePg/>
          <w:docGrid w:linePitch="360" w:charSpace="-6145"/>
        </w:sectPr>
      </w:pPr>
    </w:p>
    <w:p w:rsidRPr="00C0685F" w:rsidR="002F3939" w:rsidP="002F3939" w:rsidRDefault="0078680C" w14:paraId="33CD5623" w14:textId="2D829B0D">
      <w:pPr>
        <w:tabs>
          <w:tab w:val="left" w:pos="3828"/>
        </w:tabs>
        <w:spacing w:before="120"/>
        <w:rPr>
          <w:rFonts w:ascii="Arial" w:hAnsi="Arial"/>
          <w:b/>
          <w:sz w:val="22"/>
          <w:lang w:val="de-DE"/>
        </w:rPr>
      </w:pPr>
      <w:r>
        <w:rPr>
          <w:rFonts w:ascii="Arial" w:hAnsi="Arial" w:eastAsia="Arial" w:cs="Arial"/>
          <w:b/>
          <w:bCs/>
          <w:sz w:val="22"/>
          <w:szCs w:val="22"/>
          <w:bdr w:val="nil"/>
          <w:lang w:val="de-DE"/>
        </w:rPr>
        <w:lastRenderedPageBreak/>
        <w:t>Die Europäische Kommission gegen Rassismus und Intoleranz (ECRI)</w:t>
      </w:r>
    </w:p>
    <w:p w:rsidRPr="00C0685F" w:rsidR="002F3939" w:rsidP="002F3939" w:rsidRDefault="00C46549" w14:paraId="676E488A" w14:textId="5DDDF910">
      <w:pPr>
        <w:spacing w:before="120"/>
        <w:rPr>
          <w:rFonts w:ascii="Arial" w:hAnsi="Arial"/>
          <w:sz w:val="22"/>
          <w:lang w:val="de-DE"/>
        </w:rPr>
      </w:pPr>
      <w:r>
        <w:rPr>
          <w:rFonts w:ascii="Arial" w:hAnsi="Arial" w:eastAsia="Arial" w:cs="Arial"/>
          <w:sz w:val="22"/>
          <w:szCs w:val="22"/>
          <w:bdr w:val="nil"/>
          <w:lang w:val="de-DE"/>
        </w:rPr>
        <w:t>Unter Hinweis auf die</w:t>
      </w:r>
      <w:r w:rsidR="0078680C">
        <w:rPr>
          <w:rFonts w:ascii="Arial" w:hAnsi="Arial" w:eastAsia="Arial" w:cs="Arial"/>
          <w:sz w:val="22"/>
          <w:szCs w:val="22"/>
          <w:bdr w:val="nil"/>
          <w:lang w:val="de-DE"/>
        </w:rPr>
        <w:t xml:space="preserve"> </w:t>
      </w:r>
      <w:r w:rsidR="009B64FB">
        <w:rPr>
          <w:rFonts w:ascii="Arial" w:hAnsi="Arial" w:eastAsia="Arial" w:cs="Arial"/>
          <w:sz w:val="22"/>
          <w:szCs w:val="22"/>
          <w:bdr w:val="nil"/>
          <w:lang w:val="de-DE"/>
        </w:rPr>
        <w:t>prominente Stellung</w:t>
      </w:r>
      <w:r w:rsidR="0078680C">
        <w:rPr>
          <w:rFonts w:ascii="Arial" w:hAnsi="Arial" w:eastAsia="Arial" w:cs="Arial"/>
          <w:sz w:val="22"/>
          <w:szCs w:val="22"/>
          <w:bdr w:val="nil"/>
          <w:lang w:val="de-DE"/>
        </w:rPr>
        <w:t>, die d</w:t>
      </w:r>
      <w:r w:rsidR="009B64FB">
        <w:rPr>
          <w:rFonts w:ascii="Arial" w:hAnsi="Arial" w:eastAsia="Arial" w:cs="Arial"/>
          <w:sz w:val="22"/>
          <w:szCs w:val="22"/>
          <w:bdr w:val="nil"/>
          <w:lang w:val="de-DE"/>
        </w:rPr>
        <w:t>as Gleichheitsrecht</w:t>
      </w:r>
      <w:r w:rsidR="0078680C">
        <w:rPr>
          <w:rFonts w:ascii="Arial" w:hAnsi="Arial" w:eastAsia="Arial" w:cs="Arial"/>
          <w:sz w:val="22"/>
          <w:szCs w:val="22"/>
          <w:bdr w:val="nil"/>
          <w:lang w:val="de-DE"/>
        </w:rPr>
        <w:t xml:space="preserve"> und die Bekämpfung von Rassismus und Intoleranz in vielen internationalen Instrumenten der Vereinten Nationen, des Europarats, der Europäischen Union, der Organisation für Sicherheit und Zusammenarbeit in Europa und andere</w:t>
      </w:r>
      <w:r w:rsidR="004121FC">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internationale</w:t>
      </w:r>
      <w:r w:rsidR="004121FC">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Organe sowie in den Verfassungen und in der Gesetzgebung der Mitgliedstaaten </w:t>
      </w:r>
      <w:r w:rsidR="009B64FB">
        <w:rPr>
          <w:rFonts w:ascii="Arial" w:hAnsi="Arial" w:eastAsia="Arial" w:cs="Arial"/>
          <w:sz w:val="22"/>
          <w:szCs w:val="22"/>
          <w:bdr w:val="nil"/>
          <w:lang w:val="de-DE"/>
        </w:rPr>
        <w:t>einnehmen</w:t>
      </w:r>
      <w:r w:rsidR="0078680C">
        <w:rPr>
          <w:rFonts w:ascii="Arial" w:hAnsi="Arial" w:eastAsia="Arial" w:cs="Arial"/>
          <w:sz w:val="22"/>
          <w:szCs w:val="22"/>
          <w:bdr w:val="nil"/>
          <w:lang w:val="de-DE"/>
        </w:rPr>
        <w:t>;</w:t>
      </w:r>
    </w:p>
    <w:p w:rsidRPr="00C0685F" w:rsidR="002F3939" w:rsidP="002F3939" w:rsidRDefault="0078680C" w14:paraId="0CE1CF72" w14:textId="11B0B39B">
      <w:pPr>
        <w:spacing w:before="120"/>
        <w:rPr>
          <w:rFonts w:ascii="Arial" w:hAnsi="Arial"/>
          <w:sz w:val="22"/>
          <w:lang w:val="de-DE"/>
        </w:rPr>
      </w:pPr>
      <w:r>
        <w:rPr>
          <w:rFonts w:ascii="Arial" w:hAnsi="Arial" w:eastAsia="Arial" w:cs="Arial"/>
          <w:sz w:val="22"/>
          <w:szCs w:val="22"/>
          <w:bdr w:val="nil"/>
          <w:lang w:val="de-DE"/>
        </w:rPr>
        <w:t xml:space="preserve">In der Überzeugung, dass die Erreichung </w:t>
      </w:r>
      <w:r w:rsidR="004121FC">
        <w:rPr>
          <w:rFonts w:ascii="Arial" w:hAnsi="Arial" w:eastAsia="Arial" w:cs="Arial"/>
          <w:sz w:val="22"/>
          <w:szCs w:val="22"/>
          <w:bdr w:val="nil"/>
          <w:lang w:val="de-DE"/>
        </w:rPr>
        <w:t xml:space="preserve">von </w:t>
      </w:r>
      <w:r>
        <w:rPr>
          <w:rFonts w:ascii="Arial" w:hAnsi="Arial" w:eastAsia="Arial" w:cs="Arial"/>
          <w:sz w:val="22"/>
          <w:szCs w:val="22"/>
          <w:bdr w:val="nil"/>
          <w:lang w:val="de-DE"/>
        </w:rPr>
        <w:t>Gleich</w:t>
      </w:r>
      <w:r w:rsidR="009B64FB">
        <w:rPr>
          <w:rFonts w:ascii="Arial" w:hAnsi="Arial" w:eastAsia="Arial" w:cs="Arial"/>
          <w:sz w:val="22"/>
          <w:szCs w:val="22"/>
          <w:bdr w:val="nil"/>
          <w:lang w:val="de-DE"/>
        </w:rPr>
        <w:t>heit</w:t>
      </w:r>
      <w:r>
        <w:rPr>
          <w:rFonts w:ascii="Arial" w:hAnsi="Arial" w:eastAsia="Arial" w:cs="Arial"/>
          <w:sz w:val="22"/>
          <w:szCs w:val="22"/>
          <w:bdr w:val="nil"/>
          <w:lang w:val="de-DE"/>
        </w:rPr>
        <w:t xml:space="preserve"> und die Bekämpfung von Rassismus und Intoleranz für eine nachhaltige Entwicklung demokratischer Gesellschaften unerlässlich sind und dass die daraus entstehende soziale Kohäsion eine wichtige Absicherung von Frieden und Sicherheit in und unter den Mitgliedstaaten des Europarats ist;</w:t>
      </w:r>
    </w:p>
    <w:p w:rsidRPr="00C0685F" w:rsidR="002F3939" w:rsidP="002F3939" w:rsidRDefault="0078680C" w14:paraId="4DDFFED0" w14:textId="38EF0BD8">
      <w:pPr>
        <w:spacing w:before="120"/>
        <w:rPr>
          <w:rFonts w:ascii="Arial" w:hAnsi="Arial"/>
          <w:sz w:val="22"/>
          <w:lang w:val="de-DE"/>
        </w:rPr>
      </w:pPr>
      <w:r>
        <w:rPr>
          <w:rFonts w:ascii="Arial" w:hAnsi="Arial" w:eastAsia="Arial" w:cs="Arial"/>
          <w:sz w:val="22"/>
          <w:szCs w:val="22"/>
          <w:bdr w:val="nil"/>
          <w:lang w:val="de-DE"/>
        </w:rPr>
        <w:t xml:space="preserve">Unter Betonung, dass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zur Bekämpfung von Rassismus und Intoleranz </w:t>
      </w:r>
      <w:r w:rsidR="004121FC">
        <w:rPr>
          <w:rFonts w:ascii="Arial" w:hAnsi="Arial" w:eastAsia="Arial" w:cs="Arial"/>
          <w:sz w:val="22"/>
          <w:szCs w:val="22"/>
          <w:bdr w:val="nil"/>
          <w:lang w:val="de-DE"/>
        </w:rPr>
        <w:t xml:space="preserve">ausweislich der Feststellungen in </w:t>
      </w:r>
      <w:r w:rsidRPr="004121FC" w:rsidR="004121FC">
        <w:rPr>
          <w:rFonts w:ascii="Arial" w:hAnsi="Arial" w:eastAsia="Arial" w:cs="Arial"/>
          <w:sz w:val="22"/>
          <w:szCs w:val="22"/>
          <w:bdr w:val="nil"/>
          <w:lang w:val="de-DE"/>
        </w:rPr>
        <w:t>seine</w:t>
      </w:r>
      <w:r w:rsidR="004121FC">
        <w:rPr>
          <w:rFonts w:ascii="Arial" w:hAnsi="Arial" w:eastAsia="Arial" w:cs="Arial"/>
          <w:sz w:val="22"/>
          <w:szCs w:val="22"/>
          <w:bdr w:val="nil"/>
          <w:lang w:val="de-DE"/>
        </w:rPr>
        <w:t>m</w:t>
      </w:r>
      <w:r w:rsidRPr="004121FC" w:rsidR="004121FC">
        <w:rPr>
          <w:rFonts w:ascii="Arial" w:hAnsi="Arial" w:eastAsia="Arial" w:cs="Arial"/>
          <w:sz w:val="22"/>
          <w:szCs w:val="22"/>
          <w:bdr w:val="nil"/>
          <w:lang w:val="de-DE"/>
        </w:rPr>
        <w:t xml:space="preserve"> Länder-Monitoring</w:t>
      </w:r>
      <w:r w:rsidR="004121FC">
        <w:rPr>
          <w:rFonts w:ascii="Arial" w:hAnsi="Arial" w:eastAsia="Arial" w:cs="Arial"/>
          <w:sz w:val="22"/>
          <w:szCs w:val="22"/>
          <w:bdr w:val="nil"/>
          <w:lang w:val="de-DE"/>
        </w:rPr>
        <w:t xml:space="preserve"> </w:t>
      </w:r>
      <w:r>
        <w:rPr>
          <w:rFonts w:ascii="Arial" w:hAnsi="Arial" w:eastAsia="Arial" w:cs="Arial"/>
          <w:sz w:val="22"/>
          <w:szCs w:val="22"/>
          <w:bdr w:val="nil"/>
          <w:lang w:val="de-DE"/>
        </w:rPr>
        <w:t>eine wesentliche Rolle bei der Erreichung der Gleich</w:t>
      </w:r>
      <w:r w:rsidR="004121FC">
        <w:rPr>
          <w:rFonts w:ascii="Arial" w:hAnsi="Arial" w:eastAsia="Arial" w:cs="Arial"/>
          <w:sz w:val="22"/>
          <w:szCs w:val="22"/>
          <w:bdr w:val="nil"/>
          <w:lang w:val="de-DE"/>
        </w:rPr>
        <w:t>heit</w:t>
      </w:r>
      <w:r>
        <w:rPr>
          <w:rFonts w:ascii="Arial" w:hAnsi="Arial" w:eastAsia="Arial" w:cs="Arial"/>
          <w:sz w:val="22"/>
          <w:szCs w:val="22"/>
          <w:bdr w:val="nil"/>
          <w:lang w:val="de-DE"/>
        </w:rPr>
        <w:t xml:space="preserve"> und bei der Bekämpfung von Diskriminierung und Intoleranz spielen;</w:t>
      </w:r>
    </w:p>
    <w:p w:rsidRPr="00C0685F" w:rsidR="002F3939" w:rsidP="002F3939" w:rsidRDefault="0078680C" w14:paraId="253F4675" w14:textId="12ECD729">
      <w:pPr>
        <w:spacing w:before="120"/>
        <w:rPr>
          <w:rFonts w:ascii="Arial" w:hAnsi="Arial"/>
          <w:sz w:val="22"/>
          <w:lang w:val="de-DE"/>
        </w:rPr>
      </w:pPr>
      <w:r>
        <w:rPr>
          <w:rFonts w:ascii="Arial" w:hAnsi="Arial" w:eastAsia="Arial" w:cs="Arial"/>
          <w:sz w:val="22"/>
          <w:szCs w:val="22"/>
          <w:bdr w:val="nil"/>
          <w:lang w:val="de-DE"/>
        </w:rPr>
        <w:t xml:space="preserve">Unter Begrüßung der Tatsache, dass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in den meisten Mitgliedstaaten des Europarats eingerichtet </w:t>
      </w:r>
      <w:r w:rsidR="0037761D">
        <w:rPr>
          <w:rFonts w:ascii="Arial" w:hAnsi="Arial" w:eastAsia="Arial" w:cs="Arial"/>
          <w:sz w:val="22"/>
          <w:szCs w:val="22"/>
          <w:bdr w:val="nil"/>
          <w:lang w:val="de-DE"/>
        </w:rPr>
        <w:t xml:space="preserve">wurden </w:t>
      </w:r>
      <w:r>
        <w:rPr>
          <w:rFonts w:ascii="Arial" w:hAnsi="Arial" w:eastAsia="Arial" w:cs="Arial"/>
          <w:sz w:val="22"/>
          <w:szCs w:val="22"/>
          <w:bdr w:val="nil"/>
          <w:lang w:val="de-DE"/>
        </w:rPr>
        <w:t xml:space="preserve">und </w:t>
      </w:r>
      <w:r w:rsidR="0037761D">
        <w:rPr>
          <w:rFonts w:ascii="Arial" w:hAnsi="Arial" w:eastAsia="Arial" w:cs="Arial"/>
          <w:sz w:val="22"/>
          <w:szCs w:val="22"/>
          <w:bdr w:val="nil"/>
          <w:lang w:val="de-DE"/>
        </w:rPr>
        <w:t>arbeiten</w:t>
      </w:r>
      <w:r>
        <w:rPr>
          <w:rFonts w:ascii="Arial" w:hAnsi="Arial" w:eastAsia="Arial" w:cs="Arial"/>
          <w:sz w:val="22"/>
          <w:szCs w:val="22"/>
          <w:bdr w:val="nil"/>
          <w:lang w:val="de-DE"/>
        </w:rPr>
        <w:t xml:space="preserve"> und in Anerkennung der in ganz Europa durchgeführten wertvollen Pionierarbeit, die dies ermöglicht hat;</w:t>
      </w:r>
    </w:p>
    <w:p w:rsidRPr="00C0685F" w:rsidR="002F3939" w:rsidP="002F3939" w:rsidRDefault="0078680C" w14:paraId="077EC8A1" w14:textId="5F23191E">
      <w:pPr>
        <w:spacing w:before="120"/>
        <w:rPr>
          <w:rFonts w:ascii="Arial" w:hAnsi="Arial"/>
          <w:sz w:val="22"/>
          <w:lang w:val="de-DE"/>
        </w:rPr>
      </w:pPr>
      <w:r>
        <w:rPr>
          <w:rFonts w:ascii="Arial" w:hAnsi="Arial" w:eastAsia="Arial" w:cs="Arial"/>
          <w:sz w:val="22"/>
          <w:szCs w:val="22"/>
          <w:bdr w:val="nil"/>
          <w:lang w:val="de-DE"/>
        </w:rPr>
        <w:t>In Anerkennung der Tatsache, dass die institutionelle Form und die Tätigkeit</w:t>
      </w:r>
      <w:r w:rsidR="004121FC">
        <w:rPr>
          <w:rFonts w:ascii="Arial" w:hAnsi="Arial" w:eastAsia="Arial" w:cs="Arial"/>
          <w:sz w:val="22"/>
          <w:szCs w:val="22"/>
          <w:bdr w:val="nil"/>
          <w:lang w:val="de-DE"/>
        </w:rPr>
        <w:t>en</w:t>
      </w:r>
      <w:r>
        <w:rPr>
          <w:rFonts w:ascii="Arial" w:hAnsi="Arial" w:eastAsia="Arial" w:cs="Arial"/>
          <w:sz w:val="22"/>
          <w:szCs w:val="22"/>
          <w:bdr w:val="nil"/>
          <w:lang w:val="de-DE"/>
        </w:rPr>
        <w:t xml:space="preserve"> dieser Stellen </w:t>
      </w:r>
      <w:r w:rsidR="0037761D">
        <w:rPr>
          <w:rFonts w:ascii="Arial" w:hAnsi="Arial" w:eastAsia="Arial" w:cs="Arial"/>
          <w:sz w:val="22"/>
          <w:szCs w:val="22"/>
          <w:bdr w:val="nil"/>
          <w:lang w:val="de-DE"/>
        </w:rPr>
        <w:t xml:space="preserve">in den Mitgliedsstaaten </w:t>
      </w:r>
      <w:r>
        <w:rPr>
          <w:rFonts w:ascii="Arial" w:hAnsi="Arial" w:eastAsia="Arial" w:cs="Arial"/>
          <w:sz w:val="22"/>
          <w:szCs w:val="22"/>
          <w:bdr w:val="nil"/>
          <w:lang w:val="de-DE"/>
        </w:rPr>
        <w:t>variieren</w:t>
      </w:r>
      <w:r w:rsidR="0037761D">
        <w:rPr>
          <w:rFonts w:ascii="Arial" w:hAnsi="Arial" w:eastAsia="Arial" w:cs="Arial"/>
          <w:sz w:val="22"/>
          <w:szCs w:val="22"/>
          <w:bdr w:val="nil"/>
          <w:lang w:val="de-DE"/>
        </w:rPr>
        <w:t>,</w:t>
      </w:r>
      <w:r>
        <w:rPr>
          <w:rFonts w:ascii="Arial" w:hAnsi="Arial" w:eastAsia="Arial" w:cs="Arial"/>
          <w:sz w:val="22"/>
          <w:szCs w:val="22"/>
          <w:bdr w:val="nil"/>
          <w:lang w:val="de-DE"/>
        </w:rPr>
        <w:t xml:space="preserve"> Veränderungen unterworfen sind, angepasst werden und sich weiterentwickeln;</w:t>
      </w:r>
    </w:p>
    <w:p w:rsidRPr="00C0685F" w:rsidR="002F3939" w:rsidP="002F3939" w:rsidRDefault="0078680C" w14:paraId="25E37EF7" w14:textId="1687C54D">
      <w:pPr>
        <w:spacing w:before="120"/>
        <w:rPr>
          <w:rFonts w:ascii="Arial" w:hAnsi="Arial"/>
          <w:sz w:val="22"/>
          <w:lang w:val="de-DE"/>
        </w:rPr>
      </w:pPr>
      <w:r>
        <w:rPr>
          <w:rFonts w:ascii="Arial" w:hAnsi="Arial" w:eastAsia="Arial" w:cs="Arial"/>
          <w:sz w:val="22"/>
          <w:szCs w:val="22"/>
          <w:bdr w:val="nil"/>
          <w:lang w:val="de-DE"/>
        </w:rPr>
        <w:t>Im Wissen um die Schwierigkeiten und den Druck, den</w:t>
      </w:r>
      <w:r w:rsidR="004121FC">
        <w:rPr>
          <w:rFonts w:ascii="Arial" w:hAnsi="Arial" w:eastAsia="Arial" w:cs="Arial"/>
          <w:sz w:val="22"/>
          <w:szCs w:val="22"/>
          <w:bdr w:val="nil"/>
          <w:lang w:val="de-DE"/>
        </w:rPr>
        <w:t>en</w:t>
      </w:r>
      <w:r>
        <w:rPr>
          <w:rFonts w:ascii="Arial" w:hAnsi="Arial" w:eastAsia="Arial" w:cs="Arial"/>
          <w:sz w:val="22"/>
          <w:szCs w:val="22"/>
          <w:bdr w:val="nil"/>
          <w:lang w:val="de-DE"/>
        </w:rPr>
        <w:t xml:space="preserve"> </w:t>
      </w:r>
      <w:r w:rsidR="0037761D">
        <w:rPr>
          <w:rFonts w:ascii="Arial" w:hAnsi="Arial" w:eastAsia="Arial" w:cs="Arial"/>
          <w:sz w:val="22"/>
          <w:szCs w:val="22"/>
          <w:bdr w:val="nil"/>
          <w:lang w:val="de-DE"/>
        </w:rPr>
        <w:t>solche</w:t>
      </w:r>
      <w:r>
        <w:rPr>
          <w:rFonts w:ascii="Arial" w:hAnsi="Arial" w:eastAsia="Arial" w:cs="Arial"/>
          <w:sz w:val="22"/>
          <w:szCs w:val="22"/>
          <w:bdr w:val="nil"/>
          <w:lang w:val="de-DE"/>
        </w:rPr>
        <w:t xml:space="preserve"> Stellen bei der Wahrnehmung ihre</w:t>
      </w:r>
      <w:r w:rsidR="004121FC">
        <w:rPr>
          <w:rFonts w:ascii="Arial" w:hAnsi="Arial" w:eastAsia="Arial" w:cs="Arial"/>
          <w:sz w:val="22"/>
          <w:szCs w:val="22"/>
          <w:bdr w:val="nil"/>
          <w:lang w:val="de-DE"/>
        </w:rPr>
        <w:t>s</w:t>
      </w:r>
      <w:r>
        <w:rPr>
          <w:rFonts w:ascii="Arial" w:hAnsi="Arial" w:eastAsia="Arial" w:cs="Arial"/>
          <w:sz w:val="22"/>
          <w:szCs w:val="22"/>
          <w:bdr w:val="nil"/>
          <w:lang w:val="de-DE"/>
        </w:rPr>
        <w:t xml:space="preserve"> Mandat</w:t>
      </w:r>
      <w:r w:rsidR="004121FC">
        <w:rPr>
          <w:rFonts w:ascii="Arial" w:hAnsi="Arial" w:eastAsia="Arial" w:cs="Arial"/>
          <w:sz w:val="22"/>
          <w:szCs w:val="22"/>
          <w:bdr w:val="nil"/>
          <w:lang w:val="de-DE"/>
        </w:rPr>
        <w:t>s ausgesetzt sind</w:t>
      </w:r>
      <w:r>
        <w:rPr>
          <w:rFonts w:ascii="Arial" w:hAnsi="Arial" w:eastAsia="Arial" w:cs="Arial"/>
          <w:sz w:val="22"/>
          <w:szCs w:val="22"/>
          <w:bdr w:val="nil"/>
          <w:lang w:val="de-DE"/>
        </w:rPr>
        <w:t xml:space="preserve">, und </w:t>
      </w:r>
      <w:r w:rsidR="00AA74AC">
        <w:rPr>
          <w:rFonts w:ascii="Arial" w:hAnsi="Arial" w:eastAsia="Arial" w:cs="Arial"/>
          <w:sz w:val="22"/>
          <w:szCs w:val="22"/>
          <w:bdr w:val="nil"/>
          <w:lang w:val="de-DE"/>
        </w:rPr>
        <w:t>unter</w:t>
      </w:r>
      <w:r>
        <w:rPr>
          <w:rFonts w:ascii="Arial" w:hAnsi="Arial" w:eastAsia="Arial" w:cs="Arial"/>
          <w:sz w:val="22"/>
          <w:szCs w:val="22"/>
          <w:bdr w:val="nil"/>
          <w:lang w:val="de-DE"/>
        </w:rPr>
        <w:t xml:space="preserve"> Betonung der </w:t>
      </w:r>
      <w:r w:rsidR="004121FC">
        <w:rPr>
          <w:rFonts w:ascii="Arial" w:hAnsi="Arial" w:eastAsia="Arial" w:cs="Arial"/>
          <w:sz w:val="22"/>
          <w:szCs w:val="22"/>
          <w:bdr w:val="nil"/>
          <w:lang w:val="de-DE"/>
        </w:rPr>
        <w:t xml:space="preserve">hieraus resultierenden </w:t>
      </w:r>
      <w:r>
        <w:rPr>
          <w:rFonts w:ascii="Arial" w:hAnsi="Arial" w:eastAsia="Arial" w:cs="Arial"/>
          <w:sz w:val="22"/>
          <w:szCs w:val="22"/>
          <w:bdr w:val="nil"/>
          <w:lang w:val="de-DE"/>
        </w:rPr>
        <w:t>Notwendigkeit</w:t>
      </w:r>
      <w:r w:rsidR="00AA74AC">
        <w:rPr>
          <w:rFonts w:ascii="Arial" w:hAnsi="Arial" w:eastAsia="Arial" w:cs="Arial"/>
          <w:sz w:val="22"/>
          <w:szCs w:val="22"/>
          <w:bdr w:val="nil"/>
          <w:lang w:val="de-DE"/>
        </w:rPr>
        <w:t xml:space="preserve">, dass </w:t>
      </w:r>
      <w:r w:rsidR="00C90BFE">
        <w:rPr>
          <w:rFonts w:ascii="Arial" w:hAnsi="Arial" w:eastAsia="Arial" w:cs="Arial"/>
          <w:sz w:val="22"/>
          <w:szCs w:val="22"/>
          <w:bdr w:val="nil"/>
          <w:lang w:val="de-DE"/>
        </w:rPr>
        <w:t>Gleichheitsstelle</w:t>
      </w:r>
      <w:r w:rsidR="00AA74AC">
        <w:rPr>
          <w:rFonts w:ascii="Arial" w:hAnsi="Arial" w:eastAsia="Arial" w:cs="Arial"/>
          <w:sz w:val="22"/>
          <w:szCs w:val="22"/>
          <w:bdr w:val="nil"/>
          <w:lang w:val="de-DE"/>
        </w:rPr>
        <w:t>n unabhängig und effektiv sein müssen</w:t>
      </w:r>
      <w:r>
        <w:rPr>
          <w:rFonts w:ascii="Arial" w:hAnsi="Arial" w:eastAsia="Arial" w:cs="Arial"/>
          <w:sz w:val="22"/>
          <w:szCs w:val="22"/>
          <w:bdr w:val="nil"/>
          <w:lang w:val="de-DE"/>
        </w:rPr>
        <w:t>;</w:t>
      </w:r>
    </w:p>
    <w:p w:rsidRPr="00C0685F" w:rsidR="002F3939" w:rsidP="002F3939" w:rsidRDefault="0078680C" w14:paraId="238A7F3B" w14:textId="6E344B13">
      <w:pPr>
        <w:spacing w:before="120"/>
        <w:rPr>
          <w:rFonts w:ascii="Arial" w:hAnsi="Arial"/>
          <w:sz w:val="22"/>
          <w:lang w:val="de-DE"/>
        </w:rPr>
      </w:pPr>
      <w:r>
        <w:rPr>
          <w:rFonts w:ascii="Arial" w:hAnsi="Arial" w:eastAsia="Arial" w:cs="Arial"/>
          <w:sz w:val="22"/>
          <w:szCs w:val="22"/>
          <w:bdr w:val="nil"/>
          <w:lang w:val="de-DE"/>
        </w:rPr>
        <w:t xml:space="preserve">In der Überzeugung, dass das Ausmaß der Ungleichheit, des Rassismus und der Intoleranz in Europa und in den Mitgliedstaaten </w:t>
      </w:r>
      <w:r w:rsidR="00FC209E">
        <w:rPr>
          <w:rFonts w:ascii="Arial" w:hAnsi="Arial" w:eastAsia="Arial" w:cs="Arial"/>
          <w:sz w:val="22"/>
          <w:szCs w:val="22"/>
          <w:bdr w:val="nil"/>
          <w:lang w:val="de-DE"/>
        </w:rPr>
        <w:t xml:space="preserve">weitere Investitionen in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 zur Bekämpfung von Rassismus und Intoleranz</w:t>
      </w:r>
      <w:r w:rsidR="004121FC">
        <w:rPr>
          <w:rFonts w:ascii="Arial" w:hAnsi="Arial" w:eastAsia="Arial" w:cs="Arial"/>
          <w:sz w:val="22"/>
          <w:szCs w:val="22"/>
          <w:bdr w:val="nil"/>
          <w:lang w:val="de-DE"/>
        </w:rPr>
        <w:t xml:space="preserve"> und</w:t>
      </w:r>
      <w:r>
        <w:rPr>
          <w:rFonts w:ascii="Arial" w:hAnsi="Arial" w:eastAsia="Arial" w:cs="Arial"/>
          <w:sz w:val="22"/>
          <w:szCs w:val="22"/>
          <w:bdr w:val="nil"/>
          <w:lang w:val="de-DE"/>
        </w:rPr>
        <w:t xml:space="preserve"> </w:t>
      </w:r>
      <w:r w:rsidR="00FC209E">
        <w:rPr>
          <w:rFonts w:ascii="Arial" w:hAnsi="Arial" w:eastAsia="Arial" w:cs="Arial"/>
          <w:sz w:val="22"/>
          <w:szCs w:val="22"/>
          <w:bdr w:val="nil"/>
          <w:lang w:val="de-DE"/>
        </w:rPr>
        <w:t xml:space="preserve">deren weitere Stärkung </w:t>
      </w:r>
      <w:r>
        <w:rPr>
          <w:rFonts w:ascii="Arial" w:hAnsi="Arial" w:eastAsia="Arial" w:cs="Arial"/>
          <w:sz w:val="22"/>
          <w:szCs w:val="22"/>
          <w:bdr w:val="nil"/>
          <w:lang w:val="de-DE"/>
        </w:rPr>
        <w:t>erfordern;</w:t>
      </w:r>
    </w:p>
    <w:p w:rsidRPr="00C0685F" w:rsidR="002F3939" w:rsidP="002F3939" w:rsidRDefault="0078680C" w14:paraId="133FC870" w14:textId="30AE71DF">
      <w:pPr>
        <w:spacing w:before="120"/>
        <w:rPr>
          <w:rFonts w:ascii="Arial" w:hAnsi="Arial"/>
          <w:sz w:val="22"/>
          <w:lang w:val="de-DE"/>
        </w:rPr>
      </w:pPr>
      <w:r>
        <w:rPr>
          <w:rFonts w:ascii="Arial" w:hAnsi="Arial" w:eastAsia="Arial" w:cs="Arial"/>
          <w:sz w:val="22"/>
          <w:szCs w:val="22"/>
          <w:bdr w:val="nil"/>
          <w:lang w:val="de-DE"/>
        </w:rPr>
        <w:t xml:space="preserve">Im Bewusstsein der Notwendigkeit, die </w:t>
      </w:r>
      <w:r w:rsidR="00FC209E">
        <w:rPr>
          <w:rFonts w:ascii="Arial" w:hAnsi="Arial" w:eastAsia="Arial" w:cs="Arial"/>
          <w:sz w:val="22"/>
          <w:szCs w:val="22"/>
          <w:bdr w:val="nil"/>
          <w:lang w:val="de-DE"/>
        </w:rPr>
        <w:t>ursprüngliche Fassung</w:t>
      </w:r>
      <w:r>
        <w:rPr>
          <w:rFonts w:ascii="Arial" w:hAnsi="Arial" w:eastAsia="Arial" w:cs="Arial"/>
          <w:sz w:val="22"/>
          <w:szCs w:val="22"/>
          <w:bdr w:val="nil"/>
          <w:lang w:val="de-DE"/>
        </w:rPr>
        <w:t xml:space="preserve"> dieser Allgemeinen </w:t>
      </w:r>
      <w:r w:rsidR="00D4725B">
        <w:rPr>
          <w:rFonts w:ascii="Arial" w:hAnsi="Arial" w:eastAsia="Arial" w:cs="Arial"/>
          <w:sz w:val="22"/>
          <w:szCs w:val="22"/>
          <w:bdr w:val="nil"/>
          <w:lang w:val="de-DE"/>
        </w:rPr>
        <w:t>Politikempfehlung</w:t>
      </w:r>
      <w:r w:rsidR="00FC209E">
        <w:rPr>
          <w:rFonts w:ascii="Arial" w:hAnsi="Arial" w:eastAsia="Arial" w:cs="Arial"/>
          <w:sz w:val="22"/>
          <w:szCs w:val="22"/>
          <w:bdr w:val="nil"/>
          <w:lang w:val="de-DE"/>
        </w:rPr>
        <w:t xml:space="preserve"> zu überarbeiten</w:t>
      </w:r>
      <w:r>
        <w:rPr>
          <w:rFonts w:ascii="Arial" w:hAnsi="Arial" w:eastAsia="Arial" w:cs="Arial"/>
          <w:sz w:val="22"/>
          <w:szCs w:val="22"/>
          <w:bdr w:val="nil"/>
          <w:lang w:val="de-DE"/>
        </w:rPr>
        <w:t xml:space="preserve">, die am 13. Juni 1997 </w:t>
      </w:r>
      <w:r w:rsidR="00FC209E">
        <w:rPr>
          <w:rFonts w:ascii="Arial" w:hAnsi="Arial" w:eastAsia="Arial" w:cs="Arial"/>
          <w:sz w:val="22"/>
          <w:szCs w:val="22"/>
          <w:bdr w:val="nil"/>
          <w:lang w:val="de-DE"/>
        </w:rPr>
        <w:t xml:space="preserve">verabschiedet </w:t>
      </w:r>
      <w:r>
        <w:rPr>
          <w:rFonts w:ascii="Arial" w:hAnsi="Arial" w:eastAsia="Arial" w:cs="Arial"/>
          <w:sz w:val="22"/>
          <w:szCs w:val="22"/>
          <w:bdr w:val="nil"/>
          <w:lang w:val="de-DE"/>
        </w:rPr>
        <w:t xml:space="preserve">wurde, </w:t>
      </w:r>
      <w:r w:rsidR="00FC209E">
        <w:rPr>
          <w:rFonts w:ascii="Arial" w:hAnsi="Arial" w:eastAsia="Arial" w:cs="Arial"/>
          <w:sz w:val="22"/>
          <w:szCs w:val="22"/>
          <w:bdr w:val="nil"/>
          <w:lang w:val="de-DE"/>
        </w:rPr>
        <w:t>um in sie</w:t>
      </w:r>
      <w:r>
        <w:rPr>
          <w:rFonts w:ascii="Arial" w:hAnsi="Arial" w:eastAsia="Arial" w:cs="Arial"/>
          <w:sz w:val="22"/>
          <w:szCs w:val="22"/>
          <w:bdr w:val="nil"/>
          <w:lang w:val="de-DE"/>
        </w:rPr>
        <w:t xml:space="preserve"> die Erfahrungen und die guten Pra</w:t>
      </w:r>
      <w:r w:rsidR="007B76FB">
        <w:rPr>
          <w:rFonts w:ascii="Arial" w:hAnsi="Arial" w:eastAsia="Arial" w:cs="Arial"/>
          <w:sz w:val="22"/>
          <w:szCs w:val="22"/>
          <w:bdr w:val="nil"/>
          <w:lang w:val="de-DE"/>
        </w:rPr>
        <w:t>ktiken</w:t>
      </w:r>
      <w:r>
        <w:rPr>
          <w:rFonts w:ascii="Arial" w:hAnsi="Arial" w:eastAsia="Arial" w:cs="Arial"/>
          <w:sz w:val="22"/>
          <w:szCs w:val="22"/>
          <w:bdr w:val="nil"/>
          <w:lang w:val="de-DE"/>
        </w:rPr>
        <w:t xml:space="preserve"> </w:t>
      </w:r>
      <w:r w:rsidR="00FC209E">
        <w:rPr>
          <w:rFonts w:ascii="Arial" w:hAnsi="Arial" w:eastAsia="Arial" w:cs="Arial"/>
          <w:sz w:val="22"/>
          <w:szCs w:val="22"/>
          <w:bdr w:val="nil"/>
          <w:lang w:val="de-DE"/>
        </w:rPr>
        <w:t>einzuarbeiten</w:t>
      </w:r>
      <w:r>
        <w:rPr>
          <w:rFonts w:ascii="Arial" w:hAnsi="Arial" w:eastAsia="Arial" w:cs="Arial"/>
          <w:sz w:val="22"/>
          <w:szCs w:val="22"/>
          <w:bdr w:val="nil"/>
          <w:lang w:val="de-DE"/>
        </w:rPr>
        <w:t xml:space="preserve">, die </w:t>
      </w:r>
      <w:r w:rsidR="004121FC">
        <w:rPr>
          <w:rFonts w:ascii="Arial" w:hAnsi="Arial" w:eastAsia="Arial" w:cs="Arial"/>
          <w:sz w:val="22"/>
          <w:szCs w:val="22"/>
          <w:bdr w:val="nil"/>
          <w:lang w:val="de-DE"/>
        </w:rPr>
        <w:t xml:space="preserve">sich </w:t>
      </w:r>
      <w:r>
        <w:rPr>
          <w:rFonts w:ascii="Arial" w:hAnsi="Arial" w:eastAsia="Arial" w:cs="Arial"/>
          <w:sz w:val="22"/>
          <w:szCs w:val="22"/>
          <w:bdr w:val="nil"/>
          <w:lang w:val="de-DE"/>
        </w:rPr>
        <w:t xml:space="preserve">in den letzten 20 Jahren in den Mitgliedstaaten entwickelt </w:t>
      </w:r>
      <w:r w:rsidR="004121FC">
        <w:rPr>
          <w:rFonts w:ascii="Arial" w:hAnsi="Arial" w:eastAsia="Arial" w:cs="Arial"/>
          <w:sz w:val="22"/>
          <w:szCs w:val="22"/>
          <w:bdr w:val="nil"/>
          <w:lang w:val="de-DE"/>
        </w:rPr>
        <w:t>haben;</w:t>
      </w:r>
    </w:p>
    <w:p w:rsidRPr="00C0685F" w:rsidR="002F3939" w:rsidP="002F3939" w:rsidRDefault="0078680C" w14:paraId="10F9278A" w14:textId="70C1BCAD">
      <w:pPr>
        <w:spacing w:before="120"/>
        <w:rPr>
          <w:rFonts w:ascii="Arial" w:hAnsi="Arial"/>
          <w:sz w:val="22"/>
          <w:lang w:val="de-DE"/>
        </w:rPr>
      </w:pPr>
      <w:r>
        <w:rPr>
          <w:rFonts w:ascii="Arial" w:hAnsi="Arial" w:eastAsia="Arial" w:cs="Arial"/>
          <w:sz w:val="22"/>
          <w:szCs w:val="22"/>
          <w:bdr w:val="nil"/>
          <w:lang w:val="de-DE"/>
        </w:rPr>
        <w:t xml:space="preserve">Aufbauend auf andere in diesem Bereich entwickelten Standards, u.a. die </w:t>
      </w:r>
      <w:r w:rsidR="004121FC">
        <w:rPr>
          <w:rFonts w:ascii="Arial" w:hAnsi="Arial" w:eastAsia="Arial" w:cs="Arial"/>
          <w:sz w:val="22"/>
          <w:szCs w:val="22"/>
          <w:bdr w:val="nil"/>
          <w:lang w:val="de-DE"/>
        </w:rPr>
        <w:t xml:space="preserve">Pariser </w:t>
      </w:r>
      <w:r w:rsidR="00EB5612">
        <w:rPr>
          <w:rFonts w:ascii="Arial" w:hAnsi="Arial" w:eastAsia="Arial" w:cs="Arial"/>
          <w:sz w:val="22"/>
          <w:szCs w:val="22"/>
          <w:bdr w:val="nil"/>
          <w:lang w:val="de-DE"/>
        </w:rPr>
        <w:t>Prinzipien</w:t>
      </w:r>
      <w:r w:rsidR="004121FC">
        <w:rPr>
          <w:rFonts w:ascii="Arial" w:hAnsi="Arial" w:eastAsia="Arial" w:cs="Arial"/>
          <w:sz w:val="22"/>
          <w:szCs w:val="22"/>
          <w:bdr w:val="nil"/>
          <w:lang w:val="de-DE"/>
        </w:rPr>
        <w:t xml:space="preserve"> für nationale Institutionen zur Förderung und zum Schutz der Menschenrechte </w:t>
      </w:r>
      <w:r>
        <w:rPr>
          <w:rFonts w:ascii="Arial" w:hAnsi="Arial" w:eastAsia="Arial" w:cs="Arial"/>
          <w:sz w:val="22"/>
          <w:szCs w:val="22"/>
          <w:bdr w:val="nil"/>
          <w:lang w:val="de-DE"/>
        </w:rPr>
        <w:t xml:space="preserve">und die </w:t>
      </w:r>
      <w:r w:rsidR="007B76FB">
        <w:rPr>
          <w:rFonts w:ascii="Arial" w:hAnsi="Arial" w:eastAsia="Arial" w:cs="Arial"/>
          <w:sz w:val="22"/>
          <w:szCs w:val="22"/>
          <w:bdr w:val="nil"/>
          <w:lang w:val="de-DE"/>
        </w:rPr>
        <w:t>Gleichbehandlungsr</w:t>
      </w:r>
      <w:r>
        <w:rPr>
          <w:rFonts w:ascii="Arial" w:hAnsi="Arial" w:eastAsia="Arial" w:cs="Arial"/>
          <w:sz w:val="22"/>
          <w:szCs w:val="22"/>
          <w:bdr w:val="nil"/>
          <w:lang w:val="de-DE"/>
        </w:rPr>
        <w:t>ichtlinien der Europäischen Union;</w:t>
      </w:r>
    </w:p>
    <w:p w:rsidRPr="00C0685F" w:rsidR="002F3939" w:rsidP="002F3939" w:rsidRDefault="0078680C" w14:paraId="416E8B1C" w14:textId="1E70DD3D">
      <w:pPr>
        <w:spacing w:before="120"/>
        <w:rPr>
          <w:rFonts w:ascii="Arial" w:hAnsi="Arial"/>
          <w:sz w:val="22"/>
          <w:lang w:val="de-DE"/>
        </w:rPr>
        <w:sectPr w:rsidRPr="00C0685F" w:rsidR="002F3939" w:rsidSect="00717075">
          <w:headerReference w:type="default" r:id="rId16"/>
          <w:footerReference w:type="default" r:id="rId17"/>
          <w:headerReference w:type="first" r:id="rId18"/>
          <w:type w:val="oddPage"/>
          <w:pgSz w:w="11907" w:h="16840" w:code="9"/>
          <w:pgMar w:top="1418" w:right="1418" w:bottom="1418" w:left="1418" w:header="709" w:footer="709" w:gutter="0"/>
          <w:cols w:space="720" w:num="2"/>
          <w:formProt w:val="0"/>
          <w:titlePg/>
          <w:docGrid w:linePitch="360" w:charSpace="-6145"/>
        </w:sectPr>
      </w:pPr>
      <w:r>
        <w:rPr>
          <w:rFonts w:ascii="Arial" w:hAnsi="Arial" w:eastAsia="Arial" w:cs="Arial"/>
          <w:sz w:val="22"/>
          <w:szCs w:val="22"/>
          <w:bdr w:val="nil"/>
          <w:lang w:val="de-DE"/>
        </w:rPr>
        <w:t>In dem Wunsch, d</w:t>
      </w:r>
      <w:r w:rsidR="00C46549">
        <w:rPr>
          <w:rFonts w:ascii="Arial" w:hAnsi="Arial" w:eastAsia="Arial" w:cs="Arial"/>
          <w:sz w:val="22"/>
          <w:szCs w:val="22"/>
          <w:bdr w:val="nil"/>
          <w:lang w:val="de-DE"/>
        </w:rPr>
        <w:t>en</w:t>
      </w:r>
      <w:r>
        <w:rPr>
          <w:rFonts w:ascii="Arial" w:hAnsi="Arial" w:eastAsia="Arial" w:cs="Arial"/>
          <w:sz w:val="22"/>
          <w:szCs w:val="22"/>
          <w:bdr w:val="nil"/>
          <w:lang w:val="de-DE"/>
        </w:rPr>
        <w:t xml:space="preserve"> Mitgliedstaaten da</w:t>
      </w:r>
      <w:r w:rsidR="00C46549">
        <w:rPr>
          <w:rFonts w:ascii="Arial" w:hAnsi="Arial" w:eastAsia="Arial" w:cs="Arial"/>
          <w:sz w:val="22"/>
          <w:szCs w:val="22"/>
          <w:bdr w:val="nil"/>
          <w:lang w:val="de-DE"/>
        </w:rPr>
        <w:t>bei zu helfen</w:t>
      </w:r>
      <w:r>
        <w:rPr>
          <w:rFonts w:ascii="Arial" w:hAnsi="Arial" w:eastAsia="Arial" w:cs="Arial"/>
          <w:sz w:val="22"/>
          <w:szCs w:val="22"/>
          <w:bdr w:val="nil"/>
          <w:lang w:val="de-DE"/>
        </w:rPr>
        <w:t xml:space="preserve">, die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C46549">
        <w:rPr>
          <w:rFonts w:ascii="Arial" w:hAnsi="Arial" w:eastAsia="Arial" w:cs="Arial"/>
          <w:sz w:val="22"/>
          <w:szCs w:val="22"/>
          <w:bdr w:val="nil"/>
          <w:lang w:val="de-DE"/>
        </w:rPr>
        <w:t xml:space="preserve">zu stärken und </w:t>
      </w:r>
      <w:r>
        <w:rPr>
          <w:rFonts w:ascii="Arial" w:hAnsi="Arial" w:eastAsia="Arial" w:cs="Arial"/>
          <w:sz w:val="22"/>
          <w:szCs w:val="22"/>
          <w:bdr w:val="nil"/>
          <w:lang w:val="de-DE"/>
        </w:rPr>
        <w:t>die Arbeit</w:t>
      </w:r>
      <w:r w:rsidR="00C46549">
        <w:rPr>
          <w:rFonts w:ascii="Arial" w:hAnsi="Arial" w:eastAsia="Arial" w:cs="Arial"/>
          <w:sz w:val="22"/>
          <w:szCs w:val="22"/>
          <w:bdr w:val="nil"/>
          <w:lang w:val="de-DE"/>
        </w:rPr>
        <w:t xml:space="preserve"> der </w:t>
      </w:r>
      <w:r>
        <w:rPr>
          <w:rFonts w:ascii="Arial" w:hAnsi="Arial" w:eastAsia="Arial" w:cs="Arial"/>
          <w:sz w:val="22"/>
          <w:szCs w:val="22"/>
          <w:bdr w:val="nil"/>
          <w:lang w:val="de-DE"/>
        </w:rPr>
        <w:t xml:space="preserve">Mitgliedstaaten </w:t>
      </w:r>
      <w:r w:rsidR="00C46549">
        <w:rPr>
          <w:rFonts w:ascii="Arial" w:hAnsi="Arial" w:eastAsia="Arial" w:cs="Arial"/>
          <w:sz w:val="22"/>
          <w:szCs w:val="22"/>
          <w:bdr w:val="nil"/>
          <w:lang w:val="de-DE"/>
        </w:rPr>
        <w:t xml:space="preserve">und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EB07F9">
        <w:rPr>
          <w:rFonts w:ascii="Arial" w:hAnsi="Arial" w:eastAsia="Arial" w:cs="Arial"/>
          <w:sz w:val="22"/>
          <w:szCs w:val="22"/>
          <w:bdr w:val="nil"/>
          <w:lang w:val="de-DE"/>
        </w:rPr>
        <w:t xml:space="preserve">zur Erzielung von </w:t>
      </w:r>
      <w:r>
        <w:rPr>
          <w:rFonts w:ascii="Arial" w:hAnsi="Arial" w:eastAsia="Arial" w:cs="Arial"/>
          <w:sz w:val="22"/>
          <w:szCs w:val="22"/>
          <w:bdr w:val="nil"/>
          <w:lang w:val="de-DE"/>
        </w:rPr>
        <w:t>Gleichheit und soziale</w:t>
      </w:r>
      <w:r w:rsidR="00EB07F9">
        <w:rPr>
          <w:rFonts w:ascii="Arial" w:hAnsi="Arial" w:eastAsia="Arial" w:cs="Arial"/>
          <w:sz w:val="22"/>
          <w:szCs w:val="22"/>
          <w:bdr w:val="nil"/>
          <w:lang w:val="de-DE"/>
        </w:rPr>
        <w:t>r</w:t>
      </w:r>
      <w:r>
        <w:rPr>
          <w:rFonts w:ascii="Arial" w:hAnsi="Arial" w:eastAsia="Arial" w:cs="Arial"/>
          <w:sz w:val="22"/>
          <w:szCs w:val="22"/>
          <w:bdr w:val="nil"/>
          <w:lang w:val="de-DE"/>
        </w:rPr>
        <w:t xml:space="preserve"> Kohäsion</w:t>
      </w:r>
      <w:r w:rsidR="00C46549">
        <w:rPr>
          <w:rFonts w:ascii="Arial" w:hAnsi="Arial" w:eastAsia="Arial" w:cs="Arial"/>
          <w:sz w:val="22"/>
          <w:szCs w:val="22"/>
          <w:bdr w:val="nil"/>
          <w:lang w:val="de-DE"/>
        </w:rPr>
        <w:t xml:space="preserve"> zu intensivieren</w:t>
      </w:r>
      <w:r>
        <w:rPr>
          <w:rFonts w:ascii="Arial" w:hAnsi="Arial" w:eastAsia="Arial" w:cs="Arial"/>
          <w:sz w:val="22"/>
          <w:szCs w:val="22"/>
          <w:bdr w:val="nil"/>
          <w:lang w:val="de-DE"/>
        </w:rPr>
        <w:t>;</w:t>
      </w:r>
    </w:p>
    <w:tbl>
      <w:tblPr>
        <w:tblStyle w:val="TableGrid"/>
        <w:tblW w:w="9640"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40"/>
      </w:tblGrid>
      <w:tr w:rsidRPr="00C0685F" w:rsidR="00D8651C" w:rsidTr="00C0685F" w14:paraId="6DCD9697" w14:textId="77777777">
        <w:tc>
          <w:tcPr>
            <w:tcW w:w="9640" w:type="dxa"/>
            <w:shd w:val="clear" w:color="auto" w:fill="auto"/>
            <w:tcMar>
              <w:left w:w="108" w:type="dxa"/>
            </w:tcMar>
          </w:tcPr>
          <w:p w:rsidRPr="00C0685F" w:rsidR="002F3939" w:rsidP="00717075" w:rsidRDefault="002F3939" w14:paraId="48DB90EE" w14:textId="77777777">
            <w:pPr>
              <w:tabs>
                <w:tab w:val="left" w:pos="0"/>
                <w:tab w:val="left" w:pos="3828"/>
              </w:tabs>
              <w:spacing w:before="100" w:beforeAutospacing="1" w:after="100" w:afterAutospacing="1" w:line="240" w:lineRule="exact"/>
              <w:rPr>
                <w:rFonts w:ascii="Arial" w:hAnsi="Arial"/>
                <w:sz w:val="22"/>
                <w:lang w:val="de-DE"/>
              </w:rPr>
            </w:pPr>
          </w:p>
          <w:p w:rsidRPr="00C0685F" w:rsidR="002F3939" w:rsidP="00717075" w:rsidRDefault="0078680C" w14:paraId="2A53D98C" w14:textId="77777777">
            <w:pPr>
              <w:tabs>
                <w:tab w:val="left" w:pos="0"/>
                <w:tab w:val="left" w:pos="3828"/>
              </w:tabs>
              <w:spacing w:before="100" w:beforeAutospacing="1" w:after="100" w:afterAutospacing="1" w:line="240" w:lineRule="exact"/>
              <w:rPr>
                <w:rFonts w:ascii="Arial" w:hAnsi="Arial"/>
                <w:lang w:val="de-DE"/>
              </w:rPr>
            </w:pPr>
            <w:r>
              <w:rPr>
                <w:rFonts w:ascii="Arial" w:hAnsi="Arial" w:eastAsia="Arial" w:cs="Arial"/>
                <w:sz w:val="22"/>
                <w:szCs w:val="22"/>
                <w:bdr w:val="nil"/>
                <w:lang w:val="de-DE" w:eastAsia="en-US"/>
              </w:rPr>
              <w:t>empfiehlt den Regierungen der Mitgliedstaaten das Folgende:</w:t>
            </w:r>
          </w:p>
        </w:tc>
      </w:tr>
      <w:tr w:rsidR="00D8651C" w:rsidTr="00C0685F" w14:paraId="214D6044" w14:textId="77777777">
        <w:trPr>
          <w:trHeight w:val="794"/>
        </w:trPr>
        <w:tc>
          <w:tcPr>
            <w:tcW w:w="9640" w:type="dxa"/>
            <w:shd w:val="clear" w:color="auto" w:fill="auto"/>
            <w:tcMar>
              <w:left w:w="108" w:type="dxa"/>
            </w:tcMar>
          </w:tcPr>
          <w:p w:rsidRPr="00C0685F" w:rsidR="002F3939" w:rsidP="00717075" w:rsidRDefault="002F3939" w14:paraId="03170AAE" w14:textId="77777777">
            <w:pPr>
              <w:keepNext/>
              <w:tabs>
                <w:tab w:val="left" w:pos="0"/>
              </w:tabs>
              <w:spacing w:before="100" w:beforeAutospacing="1" w:after="100" w:afterAutospacing="1" w:line="240" w:lineRule="exact"/>
              <w:jc w:val="both"/>
              <w:outlineLvl w:val="0"/>
              <w:rPr>
                <w:rFonts w:ascii="Arial" w:hAnsi="Arial"/>
                <w:b/>
                <w:sz w:val="22"/>
                <w:lang w:val="de-DE"/>
              </w:rPr>
            </w:pPr>
          </w:p>
          <w:p w:rsidRPr="006353CB" w:rsidR="002F3939" w:rsidP="00717075" w:rsidRDefault="00EB07F9" w14:paraId="26017760" w14:textId="4FA79DA6">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en-GB"/>
              </w:rPr>
            </w:pPr>
            <w:r>
              <w:rPr>
                <w:rFonts w:ascii="Arial" w:hAnsi="Arial" w:eastAsia="Arial" w:cs="Arial"/>
                <w:b/>
                <w:bCs/>
                <w:sz w:val="22"/>
                <w:szCs w:val="22"/>
                <w:bdr w:val="nil"/>
                <w:lang w:val="de-DE"/>
              </w:rPr>
              <w:t>E</w:t>
            </w:r>
            <w:r w:rsidR="00717C12">
              <w:rPr>
                <w:rFonts w:ascii="Arial" w:hAnsi="Arial" w:eastAsia="Arial" w:cs="Arial"/>
                <w:b/>
                <w:bCs/>
                <w:sz w:val="22"/>
                <w:szCs w:val="22"/>
                <w:bdr w:val="nil"/>
                <w:lang w:val="de-DE"/>
              </w:rPr>
              <w:t>rrichtung</w:t>
            </w:r>
            <w:r w:rsidR="0078680C">
              <w:rPr>
                <w:rFonts w:ascii="Arial" w:hAnsi="Arial" w:eastAsia="Arial" w:cs="Arial"/>
                <w:b/>
                <w:bCs/>
                <w:sz w:val="22"/>
                <w:szCs w:val="22"/>
                <w:bdr w:val="nil"/>
                <w:lang w:val="de-DE"/>
              </w:rPr>
              <w:t xml:space="preserve"> von </w:t>
            </w:r>
            <w:r w:rsidR="00C90BFE">
              <w:rPr>
                <w:rFonts w:ascii="Arial" w:hAnsi="Arial" w:eastAsia="Arial" w:cs="Arial"/>
                <w:b/>
                <w:bCs/>
                <w:sz w:val="22"/>
                <w:szCs w:val="22"/>
                <w:bdr w:val="nil"/>
                <w:lang w:val="de-DE"/>
              </w:rPr>
              <w:t>Gleichheitsstelle</w:t>
            </w:r>
            <w:r w:rsidR="0078680C">
              <w:rPr>
                <w:rFonts w:ascii="Arial" w:hAnsi="Arial" w:eastAsia="Arial" w:cs="Arial"/>
                <w:b/>
                <w:bCs/>
                <w:sz w:val="22"/>
                <w:szCs w:val="22"/>
                <w:bdr w:val="nil"/>
                <w:lang w:val="de-DE"/>
              </w:rPr>
              <w:t>n</w:t>
            </w:r>
          </w:p>
        </w:tc>
      </w:tr>
      <w:tr w:rsidRPr="00C0685F" w:rsidR="00D8651C" w:rsidTr="00C0685F" w14:paraId="40EDA714" w14:textId="77777777">
        <w:tc>
          <w:tcPr>
            <w:tcW w:w="9640" w:type="dxa"/>
            <w:shd w:val="clear" w:color="auto" w:fill="auto"/>
            <w:tcMar>
              <w:left w:w="108" w:type="dxa"/>
            </w:tcMar>
          </w:tcPr>
          <w:p w:rsidRPr="00C0685F" w:rsidR="002F3939" w:rsidP="00EB07F9" w:rsidRDefault="0078680C" w14:paraId="3072D8A3" w14:textId="73575503">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bookmarkStart w:name="_Ref486587144" w:id="1"/>
            <w:r>
              <w:rPr>
                <w:rFonts w:ascii="Arial" w:hAnsi="Arial" w:eastAsia="Arial" w:cs="Arial"/>
                <w:sz w:val="22"/>
                <w:szCs w:val="22"/>
                <w:bdr w:val="nil"/>
                <w:lang w:val="de-DE"/>
              </w:rPr>
              <w:t xml:space="preserve">Die Mitgliedstaaten sollten </w:t>
            </w:r>
            <w:r w:rsidR="00EB07F9">
              <w:rPr>
                <w:rFonts w:ascii="Arial" w:hAnsi="Arial" w:eastAsia="Arial" w:cs="Arial"/>
                <w:sz w:val="22"/>
                <w:szCs w:val="22"/>
                <w:bdr w:val="nil"/>
                <w:lang w:val="de-DE"/>
              </w:rPr>
              <w:t>durch eine</w:t>
            </w:r>
            <w:r>
              <w:rPr>
                <w:rFonts w:ascii="Arial" w:hAnsi="Arial" w:eastAsia="Arial" w:cs="Arial"/>
                <w:sz w:val="22"/>
                <w:szCs w:val="22"/>
                <w:bdr w:val="nil"/>
                <w:lang w:val="de-DE"/>
              </w:rPr>
              <w:t xml:space="preserve"> verfassungsrechtliche Bestimmung oder ein vom Parlament verabschiedete</w:t>
            </w:r>
            <w:r w:rsidR="00EB07F9">
              <w:rPr>
                <w:rFonts w:ascii="Arial" w:hAnsi="Arial" w:eastAsia="Arial" w:cs="Arial"/>
                <w:sz w:val="22"/>
                <w:szCs w:val="22"/>
                <w:bdr w:val="nil"/>
                <w:lang w:val="de-DE"/>
              </w:rPr>
              <w:t>s</w:t>
            </w:r>
            <w:r>
              <w:rPr>
                <w:rFonts w:ascii="Arial" w:hAnsi="Arial" w:eastAsia="Arial" w:cs="Arial"/>
                <w:sz w:val="22"/>
                <w:szCs w:val="22"/>
                <w:bdr w:val="nil"/>
                <w:lang w:val="de-DE"/>
              </w:rPr>
              <w:t xml:space="preserve"> Gesetz eine oder mehrere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 zur Bekämpfung von Rassismus und Intoleranz e</w:t>
            </w:r>
            <w:r w:rsidR="0070041C">
              <w:rPr>
                <w:rFonts w:ascii="Arial" w:hAnsi="Arial" w:eastAsia="Arial" w:cs="Arial"/>
                <w:sz w:val="22"/>
                <w:szCs w:val="22"/>
                <w:bdr w:val="nil"/>
                <w:lang w:val="de-DE"/>
              </w:rPr>
              <w:t>r</w:t>
            </w:r>
            <w:r>
              <w:rPr>
                <w:rFonts w:ascii="Arial" w:hAnsi="Arial" w:eastAsia="Arial" w:cs="Arial"/>
                <w:sz w:val="22"/>
                <w:szCs w:val="22"/>
                <w:bdr w:val="nil"/>
                <w:lang w:val="de-DE"/>
              </w:rPr>
              <w:t>richten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w:t>
            </w:r>
            <w:bookmarkEnd w:id="1"/>
            <w:r>
              <w:rPr>
                <w:rFonts w:ascii="Arial" w:hAnsi="Arial" w:eastAsia="Arial" w:cs="Arial"/>
                <w:sz w:val="22"/>
                <w:szCs w:val="22"/>
                <w:bdr w:val="nil"/>
                <w:lang w:val="de-DE"/>
              </w:rPr>
              <w:t xml:space="preserve"> </w:t>
            </w:r>
          </w:p>
        </w:tc>
      </w:tr>
      <w:tr w:rsidRPr="00046FAE" w:rsidR="00D8651C" w:rsidTr="00C0685F" w14:paraId="4FFA87DA" w14:textId="77777777">
        <w:tc>
          <w:tcPr>
            <w:tcW w:w="9640" w:type="dxa"/>
            <w:shd w:val="clear" w:color="auto" w:fill="auto"/>
            <w:tcMar>
              <w:left w:w="108" w:type="dxa"/>
            </w:tcMar>
          </w:tcPr>
          <w:p w:rsidRPr="006F4F50" w:rsidR="002F3939" w:rsidP="00FD74C0" w:rsidRDefault="0078680C" w14:paraId="782F7724" w14:textId="53CA69C3">
            <w:pPr>
              <w:numPr>
                <w:ilvl w:val="0"/>
                <w:numId w:val="1"/>
              </w:numPr>
              <w:tabs>
                <w:tab w:val="left" w:pos="0"/>
                <w:tab w:val="left" w:pos="709"/>
                <w:tab w:val="left" w:pos="1276"/>
              </w:tabs>
              <w:spacing w:before="100" w:beforeAutospacing="1" w:after="100" w:afterAutospacing="1" w:line="240" w:lineRule="exact"/>
              <w:jc w:val="both"/>
              <w:rPr>
                <w:rFonts w:ascii="Arial" w:hAnsi="Arial" w:cs="Arial"/>
                <w:sz w:val="22"/>
                <w:szCs w:val="22"/>
                <w:lang w:val="de-DE"/>
              </w:rPr>
            </w:pPr>
            <w:bookmarkStart w:name="_Ref486586899" w:id="2"/>
            <w:r>
              <w:rPr>
                <w:rFonts w:ascii="Arial" w:hAnsi="Arial" w:eastAsia="Arial" w:cs="Arial"/>
                <w:sz w:val="22"/>
                <w:szCs w:val="22"/>
                <w:bdr w:val="nil"/>
                <w:lang w:val="de-DE"/>
              </w:rPr>
              <w:t xml:space="preserve">Dieser Text sollte eindeutig </w:t>
            </w:r>
            <w:r w:rsidR="00EB07F9">
              <w:rPr>
                <w:rFonts w:ascii="Arial" w:hAnsi="Arial" w:eastAsia="Arial" w:cs="Arial"/>
                <w:sz w:val="22"/>
                <w:szCs w:val="22"/>
                <w:bdr w:val="nil"/>
                <w:lang w:val="de-DE"/>
              </w:rPr>
              <w:t>b</w:t>
            </w:r>
            <w:r w:rsidR="006F4F50">
              <w:rPr>
                <w:rFonts w:ascii="Arial" w:hAnsi="Arial" w:eastAsia="Arial" w:cs="Arial"/>
                <w:sz w:val="22"/>
                <w:szCs w:val="22"/>
                <w:bdr w:val="nil"/>
                <w:lang w:val="de-DE"/>
              </w:rPr>
              <w:t>e</w:t>
            </w:r>
            <w:r w:rsidR="00EB07F9">
              <w:rPr>
                <w:rFonts w:ascii="Arial" w:hAnsi="Arial" w:eastAsia="Arial" w:cs="Arial"/>
                <w:sz w:val="22"/>
                <w:szCs w:val="22"/>
                <w:bdr w:val="nil"/>
                <w:lang w:val="de-DE"/>
              </w:rPr>
              <w:t>stimmen</w:t>
            </w:r>
            <w:r>
              <w:rPr>
                <w:rFonts w:ascii="Arial" w:hAnsi="Arial" w:eastAsia="Arial" w:cs="Arial"/>
                <w:sz w:val="22"/>
                <w:szCs w:val="22"/>
                <w:bdr w:val="nil"/>
                <w:lang w:val="de-DE"/>
              </w:rPr>
              <w:t xml:space="preserve">, dass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unabhängig sind, und </w:t>
            </w:r>
            <w:r w:rsidR="00EB07F9">
              <w:rPr>
                <w:rFonts w:ascii="Arial" w:hAnsi="Arial" w:eastAsia="Arial" w:cs="Arial"/>
                <w:sz w:val="22"/>
                <w:szCs w:val="22"/>
                <w:bdr w:val="nil"/>
                <w:lang w:val="de-DE"/>
              </w:rPr>
              <w:t>d</w:t>
            </w:r>
            <w:r w:rsidR="006F4F50">
              <w:rPr>
                <w:rFonts w:ascii="Arial" w:hAnsi="Arial" w:eastAsia="Arial" w:cs="Arial"/>
                <w:sz w:val="22"/>
                <w:szCs w:val="22"/>
                <w:bdr w:val="nil"/>
                <w:lang w:val="de-DE"/>
              </w:rPr>
              <w:t>ie dafür notwendigen Voraussetzungen schaffen</w:t>
            </w:r>
            <w:r>
              <w:rPr>
                <w:rFonts w:ascii="Arial" w:hAnsi="Arial" w:eastAsia="Arial" w:cs="Arial"/>
                <w:sz w:val="22"/>
                <w:szCs w:val="22"/>
                <w:bdr w:val="nil"/>
                <w:lang w:val="de-DE"/>
              </w:rPr>
              <w:t xml:space="preserve">.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sowohl </w:t>
            </w:r>
            <w:r>
              <w:rPr>
                <w:rFonts w:ascii="Arial" w:hAnsi="Arial" w:eastAsia="Arial" w:cs="Arial"/>
                <w:i/>
                <w:iCs/>
                <w:sz w:val="22"/>
                <w:szCs w:val="22"/>
                <w:bdr w:val="nil"/>
                <w:lang w:val="de-DE"/>
              </w:rPr>
              <w:t>de jure</w:t>
            </w:r>
            <w:r>
              <w:rPr>
                <w:rFonts w:ascii="Arial" w:hAnsi="Arial" w:eastAsia="Arial" w:cs="Arial"/>
                <w:sz w:val="22"/>
                <w:szCs w:val="22"/>
                <w:bdr w:val="nil"/>
                <w:lang w:val="de-DE"/>
              </w:rPr>
              <w:t xml:space="preserve"> als </w:t>
            </w:r>
            <w:r>
              <w:rPr>
                <w:rFonts w:ascii="Arial" w:hAnsi="Arial" w:eastAsia="Arial" w:cs="Arial"/>
                <w:sz w:val="22"/>
                <w:szCs w:val="22"/>
                <w:bdr w:val="nil"/>
                <w:lang w:val="de-DE"/>
              </w:rPr>
              <w:lastRenderedPageBreak/>
              <w:t xml:space="preserve">auch </w:t>
            </w:r>
            <w:r>
              <w:rPr>
                <w:rFonts w:ascii="Arial" w:hAnsi="Arial" w:eastAsia="Arial" w:cs="Arial"/>
                <w:i/>
                <w:iCs/>
                <w:sz w:val="22"/>
                <w:szCs w:val="22"/>
                <w:bdr w:val="nil"/>
                <w:lang w:val="de-DE"/>
              </w:rPr>
              <w:t>de facto</w:t>
            </w:r>
            <w:r>
              <w:rPr>
                <w:rFonts w:ascii="Arial" w:hAnsi="Arial" w:eastAsia="Arial" w:cs="Arial"/>
                <w:sz w:val="22"/>
                <w:szCs w:val="22"/>
                <w:bdr w:val="nil"/>
                <w:lang w:val="de-DE"/>
              </w:rPr>
              <w:t xml:space="preserve"> unabhängig</w:t>
            </w:r>
            <w:r w:rsidR="000443FA">
              <w:rPr>
                <w:rFonts w:ascii="Arial" w:hAnsi="Arial" w:eastAsia="Arial" w:cs="Arial"/>
                <w:sz w:val="22"/>
                <w:szCs w:val="22"/>
                <w:bdr w:val="nil"/>
                <w:lang w:val="de-DE"/>
              </w:rPr>
              <w:t xml:space="preserve"> </w:t>
            </w:r>
            <w:r w:rsidR="006F4F50">
              <w:rPr>
                <w:rFonts w:ascii="Arial" w:hAnsi="Arial" w:eastAsia="Arial" w:cs="Arial"/>
                <w:sz w:val="22"/>
                <w:szCs w:val="22"/>
                <w:bdr w:val="nil"/>
                <w:lang w:val="de-DE"/>
              </w:rPr>
              <w:t>und</w:t>
            </w:r>
            <w:r w:rsidRPr="006F4F50">
              <w:rPr>
                <w:rFonts w:ascii="Arial" w:hAnsi="Arial" w:eastAsia="Arial" w:cs="Arial"/>
                <w:sz w:val="22"/>
                <w:szCs w:val="22"/>
                <w:bdr w:val="nil"/>
                <w:lang w:val="de-DE"/>
              </w:rPr>
              <w:t xml:space="preserve"> separate juristischen Personen außerhalb der Exekutive und Legislative sein und über die erforderlichen </w:t>
            </w:r>
            <w:r w:rsidR="002A166A">
              <w:rPr>
                <w:rFonts w:ascii="Arial" w:hAnsi="Arial" w:eastAsia="Arial" w:cs="Arial"/>
                <w:sz w:val="22"/>
                <w:szCs w:val="22"/>
                <w:bdr w:val="nil"/>
                <w:lang w:val="de-DE"/>
              </w:rPr>
              <w:t>Kompetenz</w:t>
            </w:r>
            <w:r w:rsidRPr="006F4F50">
              <w:rPr>
                <w:rFonts w:ascii="Arial" w:hAnsi="Arial" w:eastAsia="Arial" w:cs="Arial"/>
                <w:sz w:val="22"/>
                <w:szCs w:val="22"/>
                <w:bdr w:val="nil"/>
                <w:lang w:val="de-DE"/>
              </w:rPr>
              <w:t xml:space="preserve">en, Befugnisse und Mittel verfügen, um </w:t>
            </w:r>
            <w:r w:rsidR="00FD74C0">
              <w:rPr>
                <w:rFonts w:ascii="Arial" w:hAnsi="Arial" w:eastAsia="Arial" w:cs="Arial"/>
                <w:sz w:val="22"/>
                <w:szCs w:val="22"/>
                <w:bdr w:val="nil"/>
                <w:lang w:val="de-DE"/>
              </w:rPr>
              <w:t>greifbare Fortschritte zu erzielen</w:t>
            </w:r>
            <w:r w:rsidR="00B73786">
              <w:rPr>
                <w:rFonts w:ascii="Arial" w:hAnsi="Arial" w:eastAsia="Arial" w:cs="Arial"/>
                <w:sz w:val="22"/>
                <w:szCs w:val="22"/>
                <w:bdr w:val="nil"/>
                <w:lang w:val="de-DE"/>
              </w:rPr>
              <w:t>.</w:t>
            </w:r>
            <w:r w:rsidRPr="006F4F50">
              <w:rPr>
                <w:rFonts w:ascii="Arial" w:hAnsi="Arial" w:eastAsia="Arial" w:cs="Arial"/>
                <w:sz w:val="22"/>
                <w:szCs w:val="22"/>
                <w:bdr w:val="nil"/>
                <w:lang w:val="de-DE"/>
              </w:rPr>
              <w:t xml:space="preserve"> Die verschiedenen Elemente, die notwendig sind, um </w:t>
            </w:r>
            <w:r w:rsidR="00FD74C0">
              <w:rPr>
                <w:rFonts w:ascii="Arial" w:hAnsi="Arial" w:eastAsia="Arial" w:cs="Arial"/>
                <w:sz w:val="22"/>
                <w:szCs w:val="22"/>
                <w:bdr w:val="nil"/>
                <w:lang w:val="de-DE"/>
              </w:rPr>
              <w:t>ihre</w:t>
            </w:r>
            <w:r w:rsidRPr="006F4F50">
              <w:rPr>
                <w:rFonts w:ascii="Arial" w:hAnsi="Arial" w:eastAsia="Arial" w:cs="Arial"/>
                <w:sz w:val="22"/>
                <w:szCs w:val="22"/>
                <w:bdr w:val="nil"/>
                <w:lang w:val="de-DE"/>
              </w:rPr>
              <w:t xml:space="preserve"> tatsächliche Unabhängigkeit und </w:t>
            </w:r>
            <w:r w:rsidR="00C31827">
              <w:rPr>
                <w:rFonts w:ascii="Arial" w:hAnsi="Arial" w:eastAsia="Arial" w:cs="Arial"/>
                <w:sz w:val="22"/>
                <w:szCs w:val="22"/>
                <w:bdr w:val="nil"/>
                <w:lang w:val="de-DE"/>
              </w:rPr>
              <w:t>Effektivität</w:t>
            </w:r>
            <w:r w:rsidRPr="006F4F50">
              <w:rPr>
                <w:rFonts w:ascii="Arial" w:hAnsi="Arial" w:eastAsia="Arial" w:cs="Arial"/>
                <w:sz w:val="22"/>
                <w:szCs w:val="22"/>
                <w:bdr w:val="nil"/>
                <w:lang w:val="de-DE"/>
              </w:rPr>
              <w:t xml:space="preserve"> zu gewährleisten, sind in den </w:t>
            </w:r>
            <w:r w:rsidR="00FD74C0">
              <w:rPr>
                <w:rFonts w:ascii="Arial" w:hAnsi="Arial" w:eastAsia="Arial" w:cs="Arial"/>
                <w:sz w:val="22"/>
                <w:szCs w:val="22"/>
                <w:bdr w:val="nil"/>
                <w:lang w:val="de-DE"/>
              </w:rPr>
              <w:t>Paragraphen</w:t>
            </w:r>
            <w:r w:rsidRPr="006F4F50">
              <w:rPr>
                <w:rFonts w:ascii="Arial" w:hAnsi="Arial" w:eastAsia="Arial" w:cs="Arial"/>
                <w:sz w:val="22"/>
                <w:szCs w:val="22"/>
                <w:bdr w:val="nil"/>
                <w:lang w:val="de-DE"/>
              </w:rPr>
              <w:t xml:space="preserve"> </w:t>
            </w:r>
            <w:r w:rsidRPr="006F4F50">
              <w:rPr>
                <w:rFonts w:ascii="Arial" w:hAnsi="Arial" w:cs="Arial"/>
                <w:sz w:val="22"/>
                <w:szCs w:val="22"/>
              </w:rPr>
              <w:fldChar w:fldCharType="begin"/>
            </w:r>
            <w:r w:rsidRPr="006F4F50">
              <w:rPr>
                <w:rFonts w:ascii="Arial" w:hAnsi="Arial" w:cs="Arial"/>
                <w:sz w:val="22"/>
                <w:szCs w:val="22"/>
                <w:lang w:val="de-DE"/>
              </w:rPr>
              <w:instrText xml:space="preserve"> REF _Ref483821638 \r \h  \* MERGEFORMAT </w:instrText>
            </w:r>
            <w:r w:rsidRPr="006F4F50">
              <w:rPr>
                <w:rFonts w:ascii="Arial" w:hAnsi="Arial" w:cs="Arial"/>
                <w:sz w:val="22"/>
                <w:szCs w:val="22"/>
              </w:rPr>
            </w:r>
            <w:r w:rsidRPr="006F4F50">
              <w:rPr>
                <w:rFonts w:ascii="Arial" w:hAnsi="Arial" w:cs="Arial"/>
                <w:sz w:val="22"/>
                <w:szCs w:val="22"/>
              </w:rPr>
              <w:fldChar w:fldCharType="separate"/>
            </w:r>
            <w:r w:rsidRPr="00120F0D" w:rsidR="00120F0D">
              <w:rPr>
                <w:rFonts w:ascii="Arial" w:hAnsi="Arial" w:eastAsia="Arial" w:cs="Arial"/>
                <w:sz w:val="22"/>
                <w:szCs w:val="22"/>
                <w:bdr w:val="nil"/>
                <w:lang w:val="de-DE"/>
              </w:rPr>
              <w:t>22</w:t>
            </w:r>
            <w:r w:rsidRPr="006F4F50">
              <w:rPr>
                <w:rFonts w:ascii="Arial" w:hAnsi="Arial" w:cs="Arial"/>
                <w:sz w:val="22"/>
                <w:szCs w:val="22"/>
              </w:rPr>
              <w:fldChar w:fldCharType="end"/>
            </w:r>
            <w:r w:rsidRPr="006F4F50">
              <w:rPr>
                <w:rFonts w:ascii="Arial" w:hAnsi="Arial" w:eastAsia="Arial" w:cs="Arial"/>
                <w:sz w:val="22"/>
                <w:szCs w:val="22"/>
                <w:bdr w:val="nil"/>
                <w:lang w:val="de-DE"/>
              </w:rPr>
              <w:t xml:space="preserve"> bis </w:t>
            </w:r>
            <w:r w:rsidRPr="006F4F50">
              <w:rPr>
                <w:rFonts w:ascii="Arial" w:hAnsi="Arial" w:cs="Arial"/>
                <w:sz w:val="22"/>
                <w:szCs w:val="22"/>
              </w:rPr>
              <w:fldChar w:fldCharType="begin"/>
            </w:r>
            <w:r w:rsidRPr="006F4F50">
              <w:rPr>
                <w:rFonts w:ascii="Arial" w:hAnsi="Arial" w:cs="Arial"/>
                <w:sz w:val="22"/>
                <w:szCs w:val="22"/>
                <w:lang w:val="de-DE"/>
              </w:rPr>
              <w:instrText xml:space="preserve"> REF _Ref483821801 \r \h  \* MERGEFORMAT </w:instrText>
            </w:r>
            <w:r w:rsidRPr="006F4F50">
              <w:rPr>
                <w:rFonts w:ascii="Arial" w:hAnsi="Arial" w:cs="Arial"/>
                <w:sz w:val="22"/>
                <w:szCs w:val="22"/>
              </w:rPr>
            </w:r>
            <w:r w:rsidRPr="006F4F50">
              <w:rPr>
                <w:rFonts w:ascii="Arial" w:hAnsi="Arial" w:cs="Arial"/>
                <w:sz w:val="22"/>
                <w:szCs w:val="22"/>
              </w:rPr>
              <w:fldChar w:fldCharType="separate"/>
            </w:r>
            <w:r w:rsidRPr="00120F0D" w:rsidR="00120F0D">
              <w:rPr>
                <w:rFonts w:ascii="Arial" w:hAnsi="Arial" w:eastAsia="Arial" w:cs="Arial"/>
                <w:sz w:val="22"/>
                <w:szCs w:val="22"/>
                <w:bdr w:val="nil"/>
                <w:lang w:val="de-DE"/>
              </w:rPr>
              <w:t>39</w:t>
            </w:r>
            <w:r w:rsidRPr="006F4F50">
              <w:rPr>
                <w:rFonts w:ascii="Arial" w:hAnsi="Arial" w:cs="Arial"/>
                <w:sz w:val="22"/>
                <w:szCs w:val="22"/>
              </w:rPr>
              <w:fldChar w:fldCharType="end"/>
            </w:r>
            <w:r w:rsidRPr="006F4F50">
              <w:rPr>
                <w:rFonts w:ascii="Arial" w:hAnsi="Arial" w:eastAsia="Arial" w:cs="Arial"/>
                <w:sz w:val="22"/>
                <w:szCs w:val="22"/>
                <w:bdr w:val="nil"/>
                <w:lang w:val="de-DE"/>
              </w:rPr>
              <w:t xml:space="preserve"> dieser Allgemeinen </w:t>
            </w:r>
            <w:r w:rsidR="00FD74C0">
              <w:rPr>
                <w:rFonts w:ascii="Arial" w:hAnsi="Arial" w:eastAsia="Arial" w:cs="Arial"/>
                <w:sz w:val="22"/>
                <w:szCs w:val="22"/>
                <w:bdr w:val="nil"/>
                <w:lang w:val="de-DE"/>
              </w:rPr>
              <w:t>Politike</w:t>
            </w:r>
            <w:r w:rsidRPr="006F4F50">
              <w:rPr>
                <w:rFonts w:ascii="Arial" w:hAnsi="Arial" w:eastAsia="Arial" w:cs="Arial"/>
                <w:sz w:val="22"/>
                <w:szCs w:val="22"/>
                <w:bdr w:val="nil"/>
                <w:lang w:val="de-DE"/>
              </w:rPr>
              <w:t xml:space="preserve">mpfehlung </w:t>
            </w:r>
            <w:r w:rsidR="00717C12">
              <w:rPr>
                <w:rFonts w:ascii="Arial" w:hAnsi="Arial" w:eastAsia="Arial" w:cs="Arial"/>
                <w:sz w:val="22"/>
                <w:szCs w:val="22"/>
                <w:bdr w:val="nil"/>
                <w:lang w:val="de-DE"/>
              </w:rPr>
              <w:t xml:space="preserve">(APE) </w:t>
            </w:r>
            <w:r w:rsidR="00FD74C0">
              <w:rPr>
                <w:rFonts w:ascii="Arial" w:hAnsi="Arial" w:eastAsia="Arial" w:cs="Arial"/>
                <w:sz w:val="22"/>
                <w:szCs w:val="22"/>
                <w:bdr w:val="nil"/>
                <w:lang w:val="de-DE"/>
              </w:rPr>
              <w:t>aufgeführt</w:t>
            </w:r>
            <w:r w:rsidRPr="006F4F50">
              <w:rPr>
                <w:rFonts w:ascii="Arial" w:hAnsi="Arial" w:eastAsia="Arial" w:cs="Arial"/>
                <w:sz w:val="22"/>
                <w:szCs w:val="22"/>
                <w:bdr w:val="nil"/>
                <w:lang w:val="de-DE"/>
              </w:rPr>
              <w:t>.</w:t>
            </w:r>
            <w:bookmarkEnd w:id="2"/>
          </w:p>
        </w:tc>
      </w:tr>
      <w:tr w:rsidRPr="00046FAE" w:rsidR="00D8651C" w:rsidTr="00C0685F" w14:paraId="3A0194EC" w14:textId="77777777">
        <w:tc>
          <w:tcPr>
            <w:tcW w:w="9640" w:type="dxa"/>
            <w:shd w:val="clear" w:color="auto" w:fill="auto"/>
            <w:tcMar>
              <w:left w:w="108" w:type="dxa"/>
            </w:tcMar>
          </w:tcPr>
          <w:p w:rsidRPr="006C29B1" w:rsidR="002F3939" w:rsidP="00294B0B" w:rsidRDefault="0078680C" w14:paraId="593AA610" w14:textId="1876D10A">
            <w:pPr>
              <w:numPr>
                <w:ilvl w:val="0"/>
                <w:numId w:val="1"/>
              </w:numPr>
              <w:tabs>
                <w:tab w:val="left" w:pos="0"/>
                <w:tab w:val="left" w:pos="709"/>
                <w:tab w:val="left" w:pos="1276"/>
              </w:tabs>
              <w:spacing w:before="100" w:beforeAutospacing="1" w:after="100" w:afterAutospacing="1" w:line="240" w:lineRule="exact"/>
              <w:jc w:val="both"/>
              <w:rPr>
                <w:rFonts w:ascii="Arial" w:hAnsi="Arial" w:cs="Arial"/>
                <w:sz w:val="22"/>
                <w:szCs w:val="22"/>
                <w:lang w:val="de-DE"/>
              </w:rPr>
            </w:pPr>
            <w:bookmarkStart w:name="_Ref486586501" w:id="3"/>
            <w:r>
              <w:rPr>
                <w:rFonts w:ascii="Arial" w:hAnsi="Arial" w:eastAsia="Arial" w:cs="Arial"/>
                <w:sz w:val="22"/>
                <w:szCs w:val="22"/>
                <w:bdr w:val="nil"/>
                <w:lang w:val="de-DE"/>
              </w:rPr>
              <w:lastRenderedPageBreak/>
              <w:t xml:space="preserve">Das Mandat, der institutionelle Aufbau, die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en und Befugnisse, Ernennungs- und Entlassungsverfahren, Absicherungen und Amtszeiten der Führungs</w:t>
            </w:r>
            <w:r w:rsidR="00B73786">
              <w:rPr>
                <w:rFonts w:ascii="Arial" w:hAnsi="Arial" w:eastAsia="Arial" w:cs="Arial"/>
                <w:sz w:val="22"/>
                <w:szCs w:val="22"/>
                <w:bdr w:val="nil"/>
                <w:lang w:val="de-DE"/>
              </w:rPr>
              <w:t>positionen</w:t>
            </w:r>
            <w:r>
              <w:rPr>
                <w:rFonts w:ascii="Arial" w:hAnsi="Arial" w:eastAsia="Arial" w:cs="Arial"/>
                <w:sz w:val="22"/>
                <w:szCs w:val="22"/>
                <w:bdr w:val="nil"/>
                <w:lang w:val="de-DE"/>
              </w:rPr>
              <w:t xml:space="preserve"> und die </w:t>
            </w:r>
            <w:r w:rsidR="00FD74C0">
              <w:rPr>
                <w:rFonts w:ascii="Arial" w:hAnsi="Arial" w:eastAsia="Arial" w:cs="Arial"/>
                <w:sz w:val="22"/>
                <w:szCs w:val="22"/>
                <w:bdr w:val="nil"/>
                <w:lang w:val="de-DE"/>
              </w:rPr>
              <w:t>Regelungen</w:t>
            </w:r>
            <w:r>
              <w:rPr>
                <w:rFonts w:ascii="Arial" w:hAnsi="Arial" w:eastAsia="Arial" w:cs="Arial"/>
                <w:sz w:val="22"/>
                <w:szCs w:val="22"/>
                <w:bdr w:val="nil"/>
                <w:lang w:val="de-DE"/>
              </w:rPr>
              <w:t xml:space="preserve"> </w:t>
            </w:r>
            <w:r w:rsidR="00B73786">
              <w:rPr>
                <w:rFonts w:ascii="Arial" w:hAnsi="Arial" w:eastAsia="Arial" w:cs="Arial"/>
                <w:sz w:val="22"/>
                <w:szCs w:val="22"/>
                <w:bdr w:val="nil"/>
                <w:lang w:val="de-DE"/>
              </w:rPr>
              <w:t xml:space="preserve">über </w:t>
            </w:r>
            <w:r>
              <w:rPr>
                <w:rFonts w:ascii="Arial" w:hAnsi="Arial" w:eastAsia="Arial" w:cs="Arial"/>
                <w:sz w:val="22"/>
                <w:szCs w:val="22"/>
                <w:bdr w:val="nil"/>
                <w:lang w:val="de-DE"/>
              </w:rPr>
              <w:t xml:space="preserve">die Finanzierung und Rechenschaftspflicht der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w:t>
            </w:r>
            <w:r w:rsidR="00294B0B">
              <w:rPr>
                <w:rFonts w:ascii="Arial" w:hAnsi="Arial" w:eastAsia="Arial" w:cs="Arial"/>
                <w:sz w:val="22"/>
                <w:szCs w:val="22"/>
                <w:bdr w:val="nil"/>
                <w:lang w:val="de-DE"/>
              </w:rPr>
              <w:t>durch Gesetz in</w:t>
            </w:r>
            <w:r>
              <w:rPr>
                <w:rFonts w:ascii="Arial" w:hAnsi="Arial" w:eastAsia="Arial" w:cs="Arial"/>
                <w:sz w:val="22"/>
                <w:szCs w:val="22"/>
                <w:bdr w:val="nil"/>
                <w:lang w:val="de-DE"/>
              </w:rPr>
              <w:t xml:space="preserve"> eine</w:t>
            </w:r>
            <w:r w:rsidR="00294B0B">
              <w:rPr>
                <w:rFonts w:ascii="Arial" w:hAnsi="Arial" w:eastAsia="Arial" w:cs="Arial"/>
                <w:sz w:val="22"/>
                <w:szCs w:val="22"/>
                <w:bdr w:val="nil"/>
                <w:lang w:val="de-DE"/>
              </w:rPr>
              <w:t>r</w:t>
            </w:r>
            <w:r>
              <w:rPr>
                <w:rFonts w:ascii="Arial" w:hAnsi="Arial" w:eastAsia="Arial" w:cs="Arial"/>
                <w:sz w:val="22"/>
                <w:szCs w:val="22"/>
                <w:bdr w:val="nil"/>
                <w:lang w:val="de-DE"/>
              </w:rPr>
              <w:t xml:space="preserve"> Weise </w:t>
            </w:r>
            <w:r w:rsidR="00294B0B">
              <w:rPr>
                <w:rFonts w:ascii="Arial" w:hAnsi="Arial" w:eastAsia="Arial" w:cs="Arial"/>
                <w:sz w:val="22"/>
                <w:szCs w:val="22"/>
                <w:bdr w:val="nil"/>
                <w:lang w:val="de-DE"/>
              </w:rPr>
              <w:t>geregelt</w:t>
            </w:r>
            <w:r w:rsidR="00FD74C0">
              <w:rPr>
                <w:rFonts w:ascii="Arial" w:hAnsi="Arial" w:eastAsia="Arial" w:cs="Arial"/>
                <w:sz w:val="22"/>
                <w:szCs w:val="22"/>
                <w:bdr w:val="nil"/>
                <w:lang w:val="de-DE"/>
              </w:rPr>
              <w:t xml:space="preserve"> </w:t>
            </w:r>
            <w:r>
              <w:rPr>
                <w:rFonts w:ascii="Arial" w:hAnsi="Arial" w:eastAsia="Arial" w:cs="Arial"/>
                <w:sz w:val="22"/>
                <w:szCs w:val="22"/>
                <w:bdr w:val="nil"/>
                <w:lang w:val="de-DE"/>
              </w:rPr>
              <w:t>sein, die sowohl deren Unabhängigkeit als</w:t>
            </w:r>
            <w:r w:rsidR="00FD74C0">
              <w:rPr>
                <w:rFonts w:ascii="Arial" w:hAnsi="Arial" w:eastAsia="Arial" w:cs="Arial"/>
                <w:sz w:val="22"/>
                <w:szCs w:val="22"/>
                <w:bdr w:val="nil"/>
                <w:lang w:val="de-DE"/>
              </w:rPr>
              <w:t xml:space="preserve"> auch Effektivität sicherstellt</w:t>
            </w:r>
            <w:r>
              <w:rPr>
                <w:rFonts w:ascii="Arial" w:hAnsi="Arial" w:eastAsia="Arial" w:cs="Arial"/>
                <w:sz w:val="22"/>
                <w:szCs w:val="22"/>
                <w:bdr w:val="nil"/>
                <w:lang w:val="de-DE"/>
              </w:rPr>
              <w:t>.</w:t>
            </w:r>
            <w:bookmarkEnd w:id="3"/>
          </w:p>
        </w:tc>
      </w:tr>
      <w:tr w:rsidRPr="00C0685F" w:rsidR="00D8651C" w:rsidTr="00C0685F" w14:paraId="41E82F64" w14:textId="77777777">
        <w:tc>
          <w:tcPr>
            <w:tcW w:w="9640" w:type="dxa"/>
            <w:shd w:val="clear" w:color="auto" w:fill="auto"/>
            <w:tcMar>
              <w:left w:w="108" w:type="dxa"/>
            </w:tcMar>
          </w:tcPr>
          <w:p w:rsidRPr="00C0685F" w:rsidR="002F3939" w:rsidP="00717075" w:rsidRDefault="0078680C" w14:paraId="69BAE4CB" w14:textId="77777777">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bookmarkStart w:name="_Ref486586338" w:id="4"/>
            <w:r>
              <w:rPr>
                <w:rFonts w:ascii="Arial" w:hAnsi="Arial" w:eastAsia="Arial" w:cs="Arial"/>
                <w:sz w:val="22"/>
                <w:szCs w:val="22"/>
                <w:bdr w:val="nil"/>
                <w:lang w:val="de-DE"/>
              </w:rPr>
              <w:t>Die Mandate dieser Stellen sollten einzeln oder gemeinsam Folgendes abdecken:</w:t>
            </w:r>
            <w:bookmarkEnd w:id="4"/>
            <w:r>
              <w:rPr>
                <w:rFonts w:ascii="Arial" w:hAnsi="Arial" w:eastAsia="Arial" w:cs="Arial"/>
                <w:sz w:val="22"/>
                <w:szCs w:val="22"/>
                <w:bdr w:val="nil"/>
                <w:lang w:val="de-DE"/>
              </w:rPr>
              <w:t xml:space="preserve"> </w:t>
            </w:r>
          </w:p>
        </w:tc>
      </w:tr>
      <w:tr w:rsidRPr="00C0685F" w:rsidR="00D8651C" w:rsidTr="00C0685F" w14:paraId="4EE8BFD4" w14:textId="77777777">
        <w:tc>
          <w:tcPr>
            <w:tcW w:w="9640" w:type="dxa"/>
            <w:shd w:val="clear" w:color="auto" w:fill="auto"/>
            <w:tcMar>
              <w:left w:w="108" w:type="dxa"/>
            </w:tcMar>
          </w:tcPr>
          <w:p w:rsidRPr="00C0685F" w:rsidR="002F3939" w:rsidP="00D05667" w:rsidRDefault="0078680C" w14:paraId="036EDB89" w14:textId="35A22DA7">
            <w:pPr>
              <w:numPr>
                <w:ilvl w:val="0"/>
                <w:numId w:val="2"/>
              </w:numPr>
              <w:tabs>
                <w:tab w:val="left" w:pos="0"/>
                <w:tab w:val="left" w:pos="70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Die Förderung und </w:t>
            </w:r>
            <w:r w:rsidR="00294B0B">
              <w:rPr>
                <w:rFonts w:ascii="Arial" w:hAnsi="Arial" w:eastAsia="Arial" w:cs="Arial"/>
                <w:sz w:val="22"/>
                <w:szCs w:val="22"/>
                <w:bdr w:val="nil"/>
                <w:lang w:val="de-DE"/>
              </w:rPr>
              <w:t xml:space="preserve">Verwirklichung </w:t>
            </w:r>
            <w:r>
              <w:rPr>
                <w:rFonts w:ascii="Arial" w:hAnsi="Arial" w:eastAsia="Arial" w:cs="Arial"/>
                <w:sz w:val="22"/>
                <w:szCs w:val="22"/>
                <w:bdr w:val="nil"/>
                <w:lang w:val="de-DE"/>
              </w:rPr>
              <w:t>der Gleich</w:t>
            </w:r>
            <w:r w:rsidR="00294B0B">
              <w:rPr>
                <w:rFonts w:ascii="Arial" w:hAnsi="Arial" w:eastAsia="Arial" w:cs="Arial"/>
                <w:sz w:val="22"/>
                <w:szCs w:val="22"/>
                <w:bdr w:val="nil"/>
                <w:lang w:val="de-DE"/>
              </w:rPr>
              <w:t>heit</w:t>
            </w:r>
            <w:r>
              <w:rPr>
                <w:rFonts w:ascii="Arial" w:hAnsi="Arial" w:eastAsia="Arial" w:cs="Arial"/>
                <w:sz w:val="22"/>
                <w:szCs w:val="22"/>
                <w:bdr w:val="nil"/>
                <w:lang w:val="de-DE"/>
              </w:rPr>
              <w:t xml:space="preserve">, </w:t>
            </w:r>
            <w:r w:rsidR="00B73786">
              <w:rPr>
                <w:rFonts w:ascii="Arial" w:hAnsi="Arial" w:eastAsia="Arial" w:cs="Arial"/>
                <w:sz w:val="22"/>
                <w:szCs w:val="22"/>
                <w:bdr w:val="nil"/>
                <w:lang w:val="de-DE"/>
              </w:rPr>
              <w:t xml:space="preserve">die </w:t>
            </w:r>
            <w:r>
              <w:rPr>
                <w:rFonts w:ascii="Arial" w:hAnsi="Arial" w:eastAsia="Arial" w:cs="Arial"/>
                <w:sz w:val="22"/>
                <w:szCs w:val="22"/>
                <w:bdr w:val="nil"/>
                <w:lang w:val="de-DE"/>
              </w:rPr>
              <w:t xml:space="preserve">Prävention und </w:t>
            </w:r>
            <w:r w:rsidR="00B73786">
              <w:rPr>
                <w:rFonts w:ascii="Arial" w:hAnsi="Arial" w:eastAsia="Arial" w:cs="Arial"/>
                <w:sz w:val="22"/>
                <w:szCs w:val="22"/>
                <w:bdr w:val="nil"/>
                <w:lang w:val="de-DE"/>
              </w:rPr>
              <w:t>B</w:t>
            </w:r>
            <w:r>
              <w:rPr>
                <w:rFonts w:ascii="Arial" w:hAnsi="Arial" w:eastAsia="Arial" w:cs="Arial"/>
                <w:sz w:val="22"/>
                <w:szCs w:val="22"/>
                <w:bdr w:val="nil"/>
                <w:lang w:val="de-DE"/>
              </w:rPr>
              <w:t>e</w:t>
            </w:r>
            <w:r w:rsidR="00294B0B">
              <w:rPr>
                <w:rFonts w:ascii="Arial" w:hAnsi="Arial" w:eastAsia="Arial" w:cs="Arial"/>
                <w:sz w:val="22"/>
                <w:szCs w:val="22"/>
                <w:bdr w:val="nil"/>
                <w:lang w:val="de-DE"/>
              </w:rPr>
              <w:t>seitigung</w:t>
            </w:r>
            <w:r>
              <w:rPr>
                <w:rFonts w:ascii="Arial" w:hAnsi="Arial" w:eastAsia="Arial" w:cs="Arial"/>
                <w:sz w:val="22"/>
                <w:szCs w:val="22"/>
                <w:bdr w:val="nil"/>
                <w:lang w:val="de-DE"/>
              </w:rPr>
              <w:t xml:space="preserve"> von Diskriminierung und Intoleranz, einschließlich struktureller Diskriminierung und Hassrede, sowie die Förderung der Vielfalt und gute</w:t>
            </w:r>
            <w:r w:rsidR="00D05667">
              <w:rPr>
                <w:rFonts w:ascii="Arial" w:hAnsi="Arial" w:eastAsia="Arial" w:cs="Arial"/>
                <w:sz w:val="22"/>
                <w:szCs w:val="22"/>
                <w:bdr w:val="nil"/>
                <w:lang w:val="de-DE"/>
              </w:rPr>
              <w:t>r</w:t>
            </w:r>
            <w:r>
              <w:rPr>
                <w:rFonts w:ascii="Arial" w:hAnsi="Arial" w:eastAsia="Arial" w:cs="Arial"/>
                <w:sz w:val="22"/>
                <w:szCs w:val="22"/>
                <w:bdr w:val="nil"/>
                <w:lang w:val="de-DE"/>
              </w:rPr>
              <w:t xml:space="preserve"> Beziehungen zwischen allen Personen, die den unterschiedlichen gesellschaftlichen Gruppen a</w:t>
            </w:r>
            <w:r w:rsidR="00531EBE">
              <w:rPr>
                <w:rFonts w:ascii="Arial" w:hAnsi="Arial" w:eastAsia="Arial" w:cs="Arial"/>
                <w:sz w:val="22"/>
                <w:szCs w:val="22"/>
                <w:bdr w:val="nil"/>
                <w:lang w:val="de-DE"/>
              </w:rPr>
              <w:t>ngehören (Gleichheits</w:t>
            </w:r>
            <w:r w:rsidR="00D05667">
              <w:rPr>
                <w:rFonts w:ascii="Arial" w:hAnsi="Arial" w:eastAsia="Arial" w:cs="Arial"/>
                <w:sz w:val="22"/>
                <w:szCs w:val="22"/>
                <w:bdr w:val="nil"/>
                <w:lang w:val="de-DE"/>
              </w:rPr>
              <w:t>mandat</w:t>
            </w:r>
            <w:r>
              <w:rPr>
                <w:rFonts w:ascii="Arial" w:hAnsi="Arial" w:eastAsia="Arial" w:cs="Arial"/>
                <w:sz w:val="22"/>
                <w:szCs w:val="22"/>
                <w:bdr w:val="nil"/>
                <w:lang w:val="de-DE"/>
              </w:rPr>
              <w:t xml:space="preserve">). </w:t>
            </w:r>
          </w:p>
        </w:tc>
      </w:tr>
      <w:tr w:rsidRPr="00C0685F" w:rsidR="00D8651C" w:rsidTr="00C0685F" w14:paraId="67B15C89" w14:textId="77777777">
        <w:tc>
          <w:tcPr>
            <w:tcW w:w="9640" w:type="dxa"/>
            <w:shd w:val="clear" w:color="auto" w:fill="auto"/>
            <w:tcMar>
              <w:left w:w="108" w:type="dxa"/>
            </w:tcMar>
          </w:tcPr>
          <w:p w:rsidRPr="00C0685F" w:rsidR="002F3939" w:rsidP="00956AF3" w:rsidRDefault="0078680C" w14:paraId="52141689" w14:textId="60907AC5">
            <w:pPr>
              <w:numPr>
                <w:ilvl w:val="0"/>
                <w:numId w:val="2"/>
              </w:numPr>
              <w:tabs>
                <w:tab w:val="left" w:pos="0"/>
                <w:tab w:val="left" w:pos="709"/>
                <w:tab w:val="left" w:pos="3828"/>
              </w:tabs>
              <w:spacing w:before="100" w:beforeAutospacing="1" w:after="100" w:afterAutospacing="1" w:line="240" w:lineRule="exact"/>
              <w:ind w:left="743"/>
              <w:jc w:val="both"/>
              <w:rPr>
                <w:rFonts w:ascii="Arial" w:hAnsi="Arial"/>
                <w:sz w:val="22"/>
                <w:lang w:val="de-DE"/>
              </w:rPr>
            </w:pPr>
            <w:bookmarkStart w:name="_Ref486586364" w:id="5"/>
            <w:r>
              <w:rPr>
                <w:rFonts w:ascii="Arial" w:hAnsi="Arial" w:eastAsia="Arial" w:cs="Arial"/>
                <w:sz w:val="22"/>
                <w:szCs w:val="22"/>
                <w:bdr w:val="nil"/>
                <w:lang w:val="de-DE"/>
              </w:rPr>
              <w:t xml:space="preserve">Die vom Mandat der ECRI abgedeckten Diskriminierungsgründe, </w:t>
            </w:r>
            <w:r w:rsidR="00D05667">
              <w:rPr>
                <w:rFonts w:ascii="Arial" w:hAnsi="Arial" w:eastAsia="Arial" w:cs="Arial"/>
                <w:sz w:val="22"/>
                <w:szCs w:val="22"/>
                <w:bdr w:val="nil"/>
                <w:lang w:val="de-DE"/>
              </w:rPr>
              <w:t>das heißt</w:t>
            </w:r>
            <w:r>
              <w:rPr>
                <w:rFonts w:ascii="Arial" w:hAnsi="Arial" w:eastAsia="Arial" w:cs="Arial"/>
                <w:sz w:val="22"/>
                <w:szCs w:val="22"/>
                <w:bdr w:val="nil"/>
                <w:lang w:val="de-DE"/>
              </w:rPr>
              <w:t xml:space="preserve"> „Rasse”,</w:t>
            </w:r>
            <w:r>
              <w:rPr>
                <w:rStyle w:val="FootnoteReference"/>
                <w:rFonts w:ascii="Arial" w:hAnsi="Arial" w:cs="Arial"/>
                <w:sz w:val="22"/>
                <w:szCs w:val="22"/>
              </w:rPr>
              <w:footnoteReference w:id="2"/>
            </w:r>
            <w:r>
              <w:rPr>
                <w:rFonts w:ascii="Arial" w:hAnsi="Arial" w:eastAsia="Arial" w:cs="Arial"/>
                <w:sz w:val="22"/>
                <w:szCs w:val="22"/>
                <w:bdr w:val="nil"/>
                <w:lang w:val="de-DE"/>
              </w:rPr>
              <w:t xml:space="preserve"> Hautfarbe, Sprache, Religion, Staatsangehörigkeit, nationale oder ethnische </w:t>
            </w:r>
            <w:r w:rsidRPr="00C0685F" w:rsidR="00D05667">
              <w:rPr>
                <w:rFonts w:ascii="Arial" w:hAnsi="Arial" w:eastAsia="Arial" w:cs="Arial"/>
                <w:sz w:val="22"/>
                <w:szCs w:val="22"/>
                <w:bdr w:val="nil"/>
                <w:lang w:val="de-DE"/>
              </w:rPr>
              <w:t>Herkunft</w:t>
            </w:r>
            <w:r w:rsidRPr="00B73786">
              <w:rPr>
                <w:rFonts w:ascii="Arial" w:hAnsi="Arial" w:eastAsia="Arial" w:cs="Arial"/>
                <w:sz w:val="22"/>
                <w:szCs w:val="22"/>
                <w:bdr w:val="nil"/>
                <w:lang w:val="de-DE"/>
              </w:rPr>
              <w:t>,</w:t>
            </w:r>
            <w:r>
              <w:rPr>
                <w:rFonts w:ascii="Arial" w:hAnsi="Arial" w:eastAsia="Arial" w:cs="Arial"/>
                <w:sz w:val="22"/>
                <w:szCs w:val="22"/>
                <w:bdr w:val="nil"/>
                <w:lang w:val="de-DE"/>
              </w:rPr>
              <w:t xml:space="preserve"> sexuelle Orientierung und Ge</w:t>
            </w:r>
            <w:r w:rsidR="00D05667">
              <w:rPr>
                <w:rFonts w:ascii="Arial" w:hAnsi="Arial" w:eastAsia="Arial" w:cs="Arial"/>
                <w:sz w:val="22"/>
                <w:szCs w:val="22"/>
                <w:bdr w:val="nil"/>
                <w:lang w:val="de-DE"/>
              </w:rPr>
              <w:t>schlechtsidentität</w:t>
            </w:r>
            <w:r>
              <w:rPr>
                <w:rFonts w:ascii="Arial" w:hAnsi="Arial" w:eastAsia="Arial" w:cs="Arial"/>
                <w:sz w:val="22"/>
                <w:szCs w:val="22"/>
                <w:bdr w:val="nil"/>
                <w:lang w:val="de-DE"/>
              </w:rPr>
              <w:t xml:space="preserve"> sowie </w:t>
            </w:r>
            <w:r w:rsidR="00D05667">
              <w:rPr>
                <w:rFonts w:ascii="Arial" w:hAnsi="Arial" w:eastAsia="Arial" w:cs="Arial"/>
                <w:sz w:val="22"/>
                <w:szCs w:val="22"/>
                <w:bdr w:val="nil"/>
                <w:lang w:val="de-DE"/>
              </w:rPr>
              <w:t xml:space="preserve">multiple </w:t>
            </w:r>
            <w:r>
              <w:rPr>
                <w:rFonts w:ascii="Arial" w:hAnsi="Arial" w:eastAsia="Arial" w:cs="Arial"/>
                <w:sz w:val="22"/>
                <w:szCs w:val="22"/>
                <w:bdr w:val="nil"/>
                <w:lang w:val="de-DE"/>
              </w:rPr>
              <w:t xml:space="preserve">und </w:t>
            </w:r>
            <w:r w:rsidR="00130FE4">
              <w:rPr>
                <w:rFonts w:ascii="Arial" w:hAnsi="Arial" w:eastAsia="Arial" w:cs="Arial"/>
                <w:sz w:val="22"/>
                <w:szCs w:val="22"/>
                <w:bdr w:val="nil"/>
                <w:lang w:val="de-DE"/>
              </w:rPr>
              <w:t>intersektionell</w:t>
            </w:r>
            <w:r>
              <w:rPr>
                <w:rFonts w:ascii="Arial" w:hAnsi="Arial" w:eastAsia="Arial" w:cs="Arial"/>
                <w:sz w:val="22"/>
                <w:szCs w:val="22"/>
                <w:bdr w:val="nil"/>
                <w:lang w:val="de-DE"/>
              </w:rPr>
              <w:t>e Diskriminierung wegen dieser Gründe und weitere</w:t>
            </w:r>
            <w:r w:rsidR="00B73786">
              <w:rPr>
                <w:rFonts w:ascii="Arial" w:hAnsi="Arial" w:eastAsia="Arial" w:cs="Arial"/>
                <w:sz w:val="22"/>
                <w:szCs w:val="22"/>
                <w:bdr w:val="nil"/>
                <w:lang w:val="de-DE"/>
              </w:rPr>
              <w:t>r</w:t>
            </w:r>
            <w:r>
              <w:rPr>
                <w:rFonts w:ascii="Arial" w:hAnsi="Arial" w:eastAsia="Arial" w:cs="Arial"/>
                <w:sz w:val="22"/>
                <w:szCs w:val="22"/>
                <w:bdr w:val="nil"/>
                <w:lang w:val="de-DE"/>
              </w:rPr>
              <w:t xml:space="preserve"> Gründe, u</w:t>
            </w:r>
            <w:r w:rsidR="00956AF3">
              <w:rPr>
                <w:rFonts w:ascii="Arial" w:hAnsi="Arial" w:eastAsia="Arial" w:cs="Arial"/>
                <w:sz w:val="22"/>
                <w:szCs w:val="22"/>
                <w:bdr w:val="nil"/>
                <w:lang w:val="de-DE"/>
              </w:rPr>
              <w:t>nter anderem</w:t>
            </w:r>
            <w:r>
              <w:rPr>
                <w:rFonts w:ascii="Arial" w:hAnsi="Arial" w:eastAsia="Arial" w:cs="Arial"/>
                <w:sz w:val="22"/>
                <w:szCs w:val="22"/>
                <w:bdr w:val="nil"/>
                <w:lang w:val="de-DE"/>
              </w:rPr>
              <w:t xml:space="preserve"> jene</w:t>
            </w:r>
            <w:r w:rsidR="00B73786">
              <w:rPr>
                <w:rFonts w:ascii="Arial" w:hAnsi="Arial" w:eastAsia="Arial" w:cs="Arial"/>
                <w:sz w:val="22"/>
                <w:szCs w:val="22"/>
                <w:bdr w:val="nil"/>
                <w:lang w:val="de-DE"/>
              </w:rPr>
              <w:t>r</w:t>
            </w:r>
            <w:r>
              <w:rPr>
                <w:rFonts w:ascii="Arial" w:hAnsi="Arial" w:eastAsia="Arial" w:cs="Arial"/>
                <w:sz w:val="22"/>
                <w:szCs w:val="22"/>
                <w:bdr w:val="nil"/>
                <w:lang w:val="de-DE"/>
              </w:rPr>
              <w:t xml:space="preserve">, die von Artikel 14 der Europäischen Menschenrechtskonvention abgedeckt sind, </w:t>
            </w:r>
            <w:r w:rsidR="00B73786">
              <w:rPr>
                <w:rFonts w:ascii="Arial" w:hAnsi="Arial" w:eastAsia="Arial" w:cs="Arial"/>
                <w:sz w:val="22"/>
                <w:szCs w:val="22"/>
                <w:bdr w:val="nil"/>
                <w:lang w:val="de-DE"/>
              </w:rPr>
              <w:t>bei</w:t>
            </w:r>
            <w:r>
              <w:rPr>
                <w:rFonts w:ascii="Arial" w:hAnsi="Arial" w:eastAsia="Arial" w:cs="Arial"/>
                <w:sz w:val="22"/>
                <w:szCs w:val="22"/>
                <w:bdr w:val="nil"/>
                <w:lang w:val="de-DE"/>
              </w:rPr>
              <w:t xml:space="preserve"> gleichzeitiger Berücksichtigung einer </w:t>
            </w:r>
            <w:r w:rsidR="00B73786">
              <w:rPr>
                <w:rFonts w:ascii="Arial" w:hAnsi="Arial" w:eastAsia="Arial"/>
                <w:sz w:val="22"/>
                <w:bdr w:val="nil"/>
                <w:lang w:val="de-DE"/>
              </w:rPr>
              <w:t>Gender</w:t>
            </w:r>
            <w:r>
              <w:rPr>
                <w:rFonts w:ascii="Arial" w:hAnsi="Arial" w:eastAsia="Arial" w:cs="Arial"/>
                <w:sz w:val="22"/>
                <w:szCs w:val="22"/>
                <w:bdr w:val="nil"/>
                <w:lang w:val="de-DE"/>
              </w:rPr>
              <w:t>pe</w:t>
            </w:r>
            <w:r w:rsidR="00B73786">
              <w:rPr>
                <w:rFonts w:ascii="Arial" w:hAnsi="Arial" w:eastAsia="Arial" w:cs="Arial"/>
                <w:sz w:val="22"/>
                <w:szCs w:val="22"/>
                <w:bdr w:val="nil"/>
                <w:lang w:val="de-DE"/>
              </w:rPr>
              <w:t>rspe</w:t>
            </w:r>
            <w:r>
              <w:rPr>
                <w:rFonts w:ascii="Arial" w:hAnsi="Arial" w:eastAsia="Arial" w:cs="Arial"/>
                <w:sz w:val="22"/>
                <w:szCs w:val="22"/>
                <w:bdr w:val="nil"/>
                <w:lang w:val="de-DE"/>
              </w:rPr>
              <w:t xml:space="preserve">ktive.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 können darüber hinaus auch zusätzliche Gründe abdecken, u</w:t>
            </w:r>
            <w:r w:rsidR="00956AF3">
              <w:rPr>
                <w:rFonts w:ascii="Arial" w:hAnsi="Arial" w:eastAsia="Arial" w:cs="Arial"/>
                <w:sz w:val="22"/>
                <w:szCs w:val="22"/>
                <w:bdr w:val="nil"/>
                <w:lang w:val="de-DE"/>
              </w:rPr>
              <w:t>nter anderem</w:t>
            </w:r>
            <w:r>
              <w:rPr>
                <w:rFonts w:ascii="Arial" w:hAnsi="Arial" w:eastAsia="Arial" w:cs="Arial"/>
                <w:sz w:val="22"/>
                <w:szCs w:val="22"/>
                <w:bdr w:val="nil"/>
                <w:lang w:val="de-DE"/>
              </w:rPr>
              <w:t xml:space="preserve"> Geschlecht, Gender, Alter und Behinderung.</w:t>
            </w:r>
            <w:bookmarkEnd w:id="5"/>
            <w:r>
              <w:rPr>
                <w:rFonts w:ascii="Arial" w:hAnsi="Arial" w:eastAsia="Arial" w:cs="Arial"/>
                <w:sz w:val="22"/>
                <w:szCs w:val="22"/>
                <w:bdr w:val="nil"/>
                <w:lang w:val="de-DE"/>
              </w:rPr>
              <w:t xml:space="preserve"> </w:t>
            </w:r>
          </w:p>
        </w:tc>
      </w:tr>
      <w:tr w:rsidRPr="00C0685F" w:rsidR="00D8651C" w:rsidTr="00C0685F" w14:paraId="6BCBD4D7" w14:textId="77777777">
        <w:tc>
          <w:tcPr>
            <w:tcW w:w="9640" w:type="dxa"/>
            <w:shd w:val="clear" w:color="auto" w:fill="auto"/>
            <w:tcMar>
              <w:left w:w="108" w:type="dxa"/>
            </w:tcMar>
          </w:tcPr>
          <w:p w:rsidRPr="00C0685F" w:rsidR="002F3939" w:rsidP="00717075" w:rsidRDefault="0078680C" w14:paraId="1A37DAA6" w14:textId="3149F350">
            <w:pPr>
              <w:numPr>
                <w:ilvl w:val="0"/>
                <w:numId w:val="2"/>
              </w:numPr>
              <w:tabs>
                <w:tab w:val="left" w:pos="0"/>
                <w:tab w:val="left" w:pos="709"/>
                <w:tab w:val="left" w:pos="3828"/>
              </w:tabs>
              <w:spacing w:before="100" w:beforeAutospacing="1" w:after="100" w:afterAutospacing="1" w:line="240" w:lineRule="exact"/>
              <w:ind w:left="743"/>
              <w:jc w:val="both"/>
              <w:rPr>
                <w:rFonts w:ascii="Arial" w:hAnsi="Arial"/>
                <w:sz w:val="22"/>
                <w:lang w:val="de-DE"/>
              </w:rPr>
            </w:pPr>
            <w:bookmarkStart w:name="_Ref486586343" w:id="6"/>
            <w:r w:rsidRPr="00F92846">
              <w:rPr>
                <w:rFonts w:ascii="Arial" w:hAnsi="Arial" w:eastAsia="Arial" w:cs="Arial"/>
                <w:sz w:val="22"/>
                <w:szCs w:val="22"/>
                <w:bdr w:val="nil"/>
                <w:lang w:val="de-DE"/>
              </w:rPr>
              <w:t xml:space="preserve">Alle Bereiche des öffentlichen und privaten Sektors, insbesondere: </w:t>
            </w:r>
            <w:r w:rsidRPr="00F92846">
              <w:rPr>
                <w:rFonts w:ascii="Arial" w:hAnsi="Arial" w:eastAsia="Arial"/>
                <w:sz w:val="22"/>
                <w:bdr w:val="nil"/>
                <w:lang w:val="de-DE"/>
              </w:rPr>
              <w:t xml:space="preserve">Beschäftigung, Mitgliedschaft in </w:t>
            </w:r>
            <w:r w:rsidRPr="00C0685F" w:rsidR="00B73786">
              <w:rPr>
                <w:rFonts w:ascii="Arial" w:hAnsi="Arial" w:eastAsia="Arial"/>
                <w:sz w:val="22"/>
                <w:bdr w:val="nil"/>
                <w:lang w:val="de-DE"/>
              </w:rPr>
              <w:t xml:space="preserve">einer </w:t>
            </w:r>
            <w:r w:rsidRPr="00F92846">
              <w:rPr>
                <w:rFonts w:ascii="Arial" w:hAnsi="Arial" w:eastAsia="Arial"/>
                <w:sz w:val="22"/>
                <w:bdr w:val="nil"/>
                <w:lang w:val="de-DE"/>
              </w:rPr>
              <w:t>Berufsver</w:t>
            </w:r>
            <w:r w:rsidRPr="00C0685F" w:rsidR="00B73786">
              <w:rPr>
                <w:rFonts w:ascii="Arial" w:hAnsi="Arial" w:eastAsia="Arial"/>
                <w:sz w:val="22"/>
                <w:bdr w:val="nil"/>
                <w:lang w:val="de-DE"/>
              </w:rPr>
              <w:t>einigung</w:t>
            </w:r>
            <w:r w:rsidRPr="00F92846">
              <w:rPr>
                <w:rFonts w:ascii="Arial" w:hAnsi="Arial" w:eastAsia="Arial"/>
                <w:sz w:val="22"/>
                <w:bdr w:val="nil"/>
                <w:lang w:val="de-DE"/>
              </w:rPr>
              <w:t>, Bildung</w:t>
            </w:r>
            <w:r w:rsidRPr="00C0685F" w:rsidR="00F92846">
              <w:rPr>
                <w:rFonts w:ascii="Arial" w:hAnsi="Arial" w:eastAsia="Arial"/>
                <w:sz w:val="22"/>
                <w:bdr w:val="nil"/>
                <w:lang w:val="de-DE"/>
              </w:rPr>
              <w:t xml:space="preserve"> und Erziehung</w:t>
            </w:r>
            <w:r w:rsidRPr="00F92846">
              <w:rPr>
                <w:rFonts w:ascii="Arial" w:hAnsi="Arial" w:eastAsia="Arial"/>
                <w:sz w:val="22"/>
                <w:bdr w:val="nil"/>
                <w:lang w:val="de-DE"/>
              </w:rPr>
              <w:t>, Ausbildung, Wohnen, Gesundheit</w:t>
            </w:r>
            <w:r w:rsidRPr="00C0685F" w:rsidR="00F92846">
              <w:rPr>
                <w:rFonts w:ascii="Arial" w:hAnsi="Arial" w:eastAsia="Arial"/>
                <w:sz w:val="22"/>
                <w:bdr w:val="nil"/>
                <w:lang w:val="de-DE"/>
              </w:rPr>
              <w:t>swesen</w:t>
            </w:r>
            <w:r w:rsidRPr="00F92846">
              <w:rPr>
                <w:rFonts w:ascii="Arial" w:hAnsi="Arial" w:eastAsia="Arial"/>
                <w:sz w:val="22"/>
                <w:bdr w:val="nil"/>
                <w:lang w:val="de-DE"/>
              </w:rPr>
              <w:t xml:space="preserve">, </w:t>
            </w:r>
            <w:r w:rsidRPr="00C0685F" w:rsidR="00F92846">
              <w:rPr>
                <w:rFonts w:ascii="Arial" w:hAnsi="Arial" w:eastAsia="Arial"/>
                <w:sz w:val="22"/>
                <w:bdr w:val="nil"/>
                <w:lang w:val="de-DE"/>
              </w:rPr>
              <w:t>s</w:t>
            </w:r>
            <w:r w:rsidRPr="00F92846">
              <w:rPr>
                <w:rFonts w:ascii="Arial" w:hAnsi="Arial" w:eastAsia="Arial"/>
                <w:sz w:val="22"/>
                <w:bdr w:val="nil"/>
                <w:lang w:val="de-DE"/>
              </w:rPr>
              <w:t>ozial</w:t>
            </w:r>
            <w:r w:rsidRPr="00C0685F" w:rsidR="00F92846">
              <w:rPr>
                <w:rFonts w:ascii="Arial" w:hAnsi="Arial" w:eastAsia="Arial"/>
                <w:sz w:val="22"/>
                <w:bdr w:val="nil"/>
                <w:lang w:val="de-DE"/>
              </w:rPr>
              <w:t>e Sicherung</w:t>
            </w:r>
            <w:r w:rsidRPr="00F92846">
              <w:rPr>
                <w:rFonts w:ascii="Arial" w:hAnsi="Arial" w:eastAsia="Arial"/>
                <w:sz w:val="22"/>
                <w:bdr w:val="nil"/>
                <w:lang w:val="de-DE"/>
              </w:rPr>
              <w:t xml:space="preserve"> und Sozialleistungen, soziale und kulturelle Aktivitäten, Waren und Dienstleistungen für die Öffentlichkeit, seien diese gewerblicher Natur oder frei zugänglich, öffentliche </w:t>
            </w:r>
            <w:r w:rsidRPr="00C0685F" w:rsidR="00F92846">
              <w:rPr>
                <w:rFonts w:ascii="Arial" w:hAnsi="Arial" w:eastAsia="Arial"/>
                <w:sz w:val="22"/>
                <w:bdr w:val="nil"/>
                <w:lang w:val="de-DE"/>
              </w:rPr>
              <w:t>Einrichtungen</w:t>
            </w:r>
            <w:r w:rsidRPr="00F92846">
              <w:rPr>
                <w:rFonts w:ascii="Arial" w:hAnsi="Arial" w:eastAsia="Arial"/>
                <w:sz w:val="22"/>
                <w:bdr w:val="nil"/>
                <w:lang w:val="de-DE"/>
              </w:rPr>
              <w:t xml:space="preserve">, Ausübung </w:t>
            </w:r>
            <w:r w:rsidRPr="00C0685F" w:rsidR="00F92846">
              <w:rPr>
                <w:rFonts w:ascii="Arial" w:hAnsi="Arial" w:eastAsia="Arial"/>
                <w:sz w:val="22"/>
                <w:bdr w:val="nil"/>
                <w:lang w:val="de-DE"/>
              </w:rPr>
              <w:t>w</w:t>
            </w:r>
            <w:r w:rsidRPr="00F92846">
              <w:rPr>
                <w:rFonts w:ascii="Arial" w:hAnsi="Arial" w:eastAsia="Arial"/>
                <w:sz w:val="22"/>
                <w:bdr w:val="nil"/>
                <w:lang w:val="de-DE"/>
              </w:rPr>
              <w:t>irtschaft</w:t>
            </w:r>
            <w:r w:rsidRPr="00C0685F" w:rsidR="00F92846">
              <w:rPr>
                <w:rFonts w:ascii="Arial" w:hAnsi="Arial" w:eastAsia="Arial"/>
                <w:sz w:val="22"/>
                <w:bdr w:val="nil"/>
                <w:lang w:val="de-DE"/>
              </w:rPr>
              <w:t>licher Unternehmungen,</w:t>
            </w:r>
            <w:r w:rsidRPr="00F92846">
              <w:rPr>
                <w:rFonts w:ascii="Arial" w:hAnsi="Arial" w:eastAsia="Arial"/>
                <w:sz w:val="22"/>
                <w:bdr w:val="nil"/>
                <w:lang w:val="de-DE"/>
              </w:rPr>
              <w:t xml:space="preserve"> öffentlichen Diensten und Aufgaben, einschließlich </w:t>
            </w:r>
            <w:r w:rsidR="00613F0B">
              <w:rPr>
                <w:rFonts w:ascii="Arial" w:hAnsi="Arial" w:eastAsia="Arial"/>
                <w:sz w:val="22"/>
                <w:bdr w:val="nil"/>
                <w:lang w:val="de-DE"/>
              </w:rPr>
              <w:t>der Strafverfolgungsbehörden</w:t>
            </w:r>
            <w:r w:rsidRPr="00F92846">
              <w:rPr>
                <w:rFonts w:ascii="Arial" w:hAnsi="Arial" w:eastAsia="Arial"/>
                <w:sz w:val="22"/>
                <w:bdr w:val="nil"/>
                <w:lang w:val="de-DE"/>
              </w:rPr>
              <w:t>.</w:t>
            </w:r>
            <w:bookmarkEnd w:id="6"/>
          </w:p>
        </w:tc>
      </w:tr>
      <w:tr w:rsidRPr="00046FAE" w:rsidR="00D8651C" w:rsidTr="00C0685F" w14:paraId="7758A300" w14:textId="77777777">
        <w:tc>
          <w:tcPr>
            <w:tcW w:w="9640" w:type="dxa"/>
            <w:shd w:val="clear" w:color="auto" w:fill="auto"/>
            <w:tcMar>
              <w:left w:w="108" w:type="dxa"/>
            </w:tcMar>
          </w:tcPr>
          <w:p w:rsidRPr="00C0685F" w:rsidR="002F3939" w:rsidP="00717075" w:rsidRDefault="0078680C" w14:paraId="05B12156" w14:textId="07A7DC45">
            <w:pPr>
              <w:numPr>
                <w:ilvl w:val="0"/>
                <w:numId w:val="2"/>
              </w:numPr>
              <w:tabs>
                <w:tab w:val="left" w:pos="0"/>
                <w:tab w:val="left" w:pos="709"/>
                <w:tab w:val="left" w:pos="3828"/>
              </w:tabs>
              <w:spacing w:before="100" w:beforeAutospacing="1" w:after="100" w:afterAutospacing="1" w:line="240" w:lineRule="exact"/>
              <w:ind w:left="743"/>
              <w:jc w:val="both"/>
              <w:rPr>
                <w:rFonts w:ascii="Arial" w:hAnsi="Arial"/>
                <w:sz w:val="22"/>
                <w:lang w:val="de-DE"/>
              </w:rPr>
            </w:pPr>
            <w:bookmarkStart w:name="_Ref486586377" w:id="7"/>
            <w:r>
              <w:rPr>
                <w:rFonts w:ascii="Arial" w:hAnsi="Arial" w:eastAsia="Arial" w:cs="Arial"/>
                <w:sz w:val="22"/>
                <w:szCs w:val="22"/>
                <w:bdr w:val="nil"/>
                <w:lang w:val="de-DE"/>
              </w:rPr>
              <w:t xml:space="preserve">Das gesamte </w:t>
            </w:r>
            <w:r w:rsidR="00F92846">
              <w:rPr>
                <w:rFonts w:ascii="Arial" w:hAnsi="Arial" w:eastAsia="Arial" w:cs="Arial"/>
                <w:sz w:val="22"/>
                <w:szCs w:val="22"/>
                <w:bdr w:val="nil"/>
                <w:lang w:val="de-DE"/>
              </w:rPr>
              <w:t xml:space="preserve">Gebiet </w:t>
            </w:r>
            <w:r>
              <w:rPr>
                <w:rFonts w:ascii="Arial" w:hAnsi="Arial" w:eastAsia="Arial" w:cs="Arial"/>
                <w:sz w:val="22"/>
                <w:szCs w:val="22"/>
                <w:bdr w:val="nil"/>
                <w:lang w:val="de-DE"/>
              </w:rPr>
              <w:t>des Mitgliedstaates.</w:t>
            </w:r>
            <w:bookmarkEnd w:id="7"/>
            <w:r>
              <w:rPr>
                <w:rFonts w:ascii="Arial" w:hAnsi="Arial" w:eastAsia="Arial" w:cs="Arial"/>
                <w:sz w:val="22"/>
                <w:szCs w:val="22"/>
                <w:bdr w:val="nil"/>
                <w:lang w:val="de-DE"/>
              </w:rPr>
              <w:t xml:space="preserve"> </w:t>
            </w:r>
          </w:p>
        </w:tc>
      </w:tr>
      <w:tr w:rsidR="00D8651C" w:rsidTr="00C0685F" w14:paraId="1DD3C231" w14:textId="77777777">
        <w:tc>
          <w:tcPr>
            <w:tcW w:w="9640" w:type="dxa"/>
            <w:shd w:val="clear" w:color="auto" w:fill="auto"/>
            <w:tcMar>
              <w:left w:w="108" w:type="dxa"/>
            </w:tcMar>
          </w:tcPr>
          <w:p w:rsidRPr="006353CB" w:rsidR="002F3939" w:rsidP="00717075" w:rsidRDefault="0078680C" w14:paraId="1E723123" w14:textId="77777777">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en-GB"/>
              </w:rPr>
            </w:pPr>
            <w:r>
              <w:rPr>
                <w:rFonts w:ascii="Arial" w:hAnsi="Arial" w:eastAsia="Arial" w:cs="Arial"/>
                <w:b/>
                <w:bCs/>
                <w:sz w:val="22"/>
                <w:szCs w:val="22"/>
                <w:bdr w:val="nil"/>
                <w:lang w:val="de-DE"/>
              </w:rPr>
              <w:t xml:space="preserve">Institutioneller Aufbau </w:t>
            </w:r>
          </w:p>
        </w:tc>
      </w:tr>
      <w:tr w:rsidRPr="00C0685F" w:rsidR="00D8651C" w:rsidTr="00C0685F" w14:paraId="6ACC62F9" w14:textId="77777777">
        <w:tc>
          <w:tcPr>
            <w:tcW w:w="9640" w:type="dxa"/>
            <w:shd w:val="clear" w:color="auto" w:fill="auto"/>
            <w:tcMar>
              <w:left w:w="108" w:type="dxa"/>
            </w:tcMar>
          </w:tcPr>
          <w:p w:rsidRPr="00C0685F" w:rsidR="002F3939" w:rsidP="00717075" w:rsidRDefault="0078680C" w14:paraId="5FCD874C" w14:textId="1C7A8D0D">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bookmarkStart w:name="_Ref486587182" w:id="8"/>
            <w:r>
              <w:rPr>
                <w:rFonts w:ascii="Arial" w:hAnsi="Arial" w:eastAsia="Arial" w:cs="Arial"/>
                <w:sz w:val="22"/>
                <w:szCs w:val="22"/>
                <w:bdr w:val="nil"/>
                <w:lang w:val="de-DE"/>
              </w:rPr>
              <w:t xml:space="preserve">Abhängig von den Rechts- und Verwaltungstraditionen der Mitgliedstaaten können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 unterschiedliche Formen annehmen.</w:t>
            </w:r>
            <w:bookmarkEnd w:id="8"/>
          </w:p>
        </w:tc>
      </w:tr>
      <w:tr w:rsidRPr="00046FAE" w:rsidR="00D8651C" w:rsidTr="00C0685F" w14:paraId="4BE1C376" w14:textId="77777777">
        <w:tc>
          <w:tcPr>
            <w:tcW w:w="9640" w:type="dxa"/>
            <w:shd w:val="clear" w:color="auto" w:fill="auto"/>
            <w:tcMar>
              <w:left w:w="108" w:type="dxa"/>
            </w:tcMar>
          </w:tcPr>
          <w:p w:rsidRPr="006C29B1" w:rsidR="002F3939" w:rsidP="00956AF3" w:rsidRDefault="00C90BFE" w14:paraId="3DFDC7AB" w14:textId="0E6166D3">
            <w:pPr>
              <w:numPr>
                <w:ilvl w:val="0"/>
                <w:numId w:val="1"/>
              </w:numPr>
              <w:tabs>
                <w:tab w:val="left" w:pos="0"/>
                <w:tab w:val="left" w:pos="709"/>
                <w:tab w:val="left" w:pos="1276"/>
              </w:tabs>
              <w:spacing w:before="100" w:beforeAutospacing="1" w:after="100" w:afterAutospacing="1" w:line="240" w:lineRule="exact"/>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können einen oder mehrere Diskriminierungsgründe abdecken. I</w:t>
            </w:r>
            <w:r w:rsidR="00956AF3">
              <w:rPr>
                <w:rFonts w:ascii="Arial" w:hAnsi="Arial" w:eastAsia="Arial" w:cs="Arial"/>
                <w:sz w:val="22"/>
                <w:szCs w:val="22"/>
                <w:bdr w:val="nil"/>
                <w:lang w:val="de-DE"/>
              </w:rPr>
              <w:t xml:space="preserve">st eine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für mehrere Gründe </w:t>
            </w:r>
            <w:r w:rsidR="00956AF3">
              <w:rPr>
                <w:rFonts w:ascii="Arial" w:hAnsi="Arial" w:eastAsia="Arial" w:cs="Arial"/>
                <w:sz w:val="22"/>
                <w:szCs w:val="22"/>
                <w:bdr w:val="nil"/>
                <w:lang w:val="de-DE"/>
              </w:rPr>
              <w:t xml:space="preserve">zuständig, </w:t>
            </w:r>
            <w:r w:rsidR="0078680C">
              <w:rPr>
                <w:rFonts w:ascii="Arial" w:hAnsi="Arial" w:eastAsia="Arial" w:cs="Arial"/>
                <w:sz w:val="22"/>
                <w:szCs w:val="22"/>
                <w:bdr w:val="nil"/>
                <w:lang w:val="de-DE"/>
              </w:rPr>
              <w:t xml:space="preserve">ist es notwendig sicherzustellen, dass </w:t>
            </w:r>
            <w:r w:rsidR="00F92846">
              <w:rPr>
                <w:rFonts w:ascii="Arial" w:hAnsi="Arial" w:eastAsia="Arial" w:cs="Arial"/>
                <w:sz w:val="22"/>
                <w:szCs w:val="22"/>
                <w:bdr w:val="nil"/>
                <w:lang w:val="de-DE"/>
              </w:rPr>
              <w:t>sie</w:t>
            </w:r>
            <w:r w:rsidR="0078680C">
              <w:rPr>
                <w:rFonts w:ascii="Arial" w:hAnsi="Arial" w:eastAsia="Arial" w:cs="Arial"/>
                <w:sz w:val="22"/>
                <w:szCs w:val="22"/>
                <w:bdr w:val="nil"/>
                <w:lang w:val="de-DE"/>
              </w:rPr>
              <w:t xml:space="preserve"> eine</w:t>
            </w:r>
            <w:r w:rsidR="00F92846">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klare</w:t>
            </w:r>
            <w:r w:rsidR="00F92846">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und angemessene</w:t>
            </w:r>
            <w:r w:rsidR="00F92846">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Fokus auf jeden abgedeckten Grund sowie </w:t>
            </w:r>
            <w:r w:rsidR="00F92846">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 xml:space="preserve">Überschneidungen zwischen ihnen </w:t>
            </w:r>
            <w:r w:rsidR="00F92846">
              <w:rPr>
                <w:rFonts w:ascii="Arial" w:hAnsi="Arial" w:eastAsia="Arial" w:cs="Arial"/>
                <w:sz w:val="22"/>
                <w:szCs w:val="22"/>
                <w:bdr w:val="nil"/>
                <w:lang w:val="de-DE"/>
              </w:rPr>
              <w:t>legt</w:t>
            </w:r>
            <w:r w:rsidR="0078680C">
              <w:rPr>
                <w:rFonts w:ascii="Arial" w:hAnsi="Arial" w:eastAsia="Arial" w:cs="Arial"/>
                <w:sz w:val="22"/>
                <w:szCs w:val="22"/>
                <w:bdr w:val="nil"/>
                <w:lang w:val="de-DE"/>
              </w:rPr>
              <w:t xml:space="preserve">. </w:t>
            </w:r>
          </w:p>
        </w:tc>
      </w:tr>
    </w:tbl>
    <w:p w:rsidRPr="00C0685F" w:rsidR="00017082" w:rsidRDefault="00017082" w14:paraId="2F1465A0" w14:textId="77777777">
      <w:pPr>
        <w:rPr>
          <w:lang w:val="de-DE"/>
        </w:rPr>
      </w:pPr>
      <w:bookmarkStart w:name="_Ref486586574" w:id="9"/>
      <w:r w:rsidRPr="00C0685F">
        <w:rPr>
          <w:lang w:val="de-DE"/>
        </w:rPr>
        <w:br w:type="page"/>
      </w:r>
    </w:p>
    <w:tbl>
      <w:tblPr>
        <w:tblStyle w:val="TableGrid"/>
        <w:tblW w:w="9640"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40"/>
      </w:tblGrid>
      <w:tr w:rsidRPr="00046FAE" w:rsidR="00D8651C" w:rsidTr="00C0685F" w14:paraId="4303BD20" w14:textId="77777777">
        <w:tc>
          <w:tcPr>
            <w:tcW w:w="9640" w:type="dxa"/>
            <w:shd w:val="clear" w:color="auto" w:fill="auto"/>
            <w:tcMar>
              <w:left w:w="108" w:type="dxa"/>
            </w:tcMar>
          </w:tcPr>
          <w:p w:rsidRPr="00C0685F" w:rsidR="002F3939" w:rsidP="00717075" w:rsidRDefault="00C90BFE" w14:paraId="3C8B8A36" w14:textId="548D33E5">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können </w:t>
            </w:r>
            <w:r w:rsidR="00F92846">
              <w:rPr>
                <w:rFonts w:ascii="Arial" w:hAnsi="Arial" w:eastAsia="Arial" w:cs="Arial"/>
                <w:sz w:val="22"/>
                <w:szCs w:val="22"/>
                <w:bdr w:val="nil"/>
                <w:lang w:val="de-DE"/>
              </w:rPr>
              <w:t>eigenständig</w:t>
            </w:r>
            <w:r w:rsidR="0078680C">
              <w:rPr>
                <w:rFonts w:ascii="Arial" w:hAnsi="Arial" w:eastAsia="Arial" w:cs="Arial"/>
                <w:sz w:val="22"/>
                <w:szCs w:val="22"/>
                <w:bdr w:val="nil"/>
                <w:lang w:val="de-DE"/>
              </w:rPr>
              <w:t xml:space="preserve"> oder ein gleichberechtigter Teil </w:t>
            </w:r>
            <w:r w:rsidR="00F92846">
              <w:rPr>
                <w:rFonts w:ascii="Arial" w:hAnsi="Arial" w:eastAsia="Arial" w:cs="Arial"/>
                <w:sz w:val="22"/>
                <w:szCs w:val="22"/>
                <w:bdr w:val="nil"/>
                <w:lang w:val="de-DE"/>
              </w:rPr>
              <w:t>einer</w:t>
            </w:r>
            <w:r w:rsidR="0078680C">
              <w:rPr>
                <w:rFonts w:ascii="Arial" w:hAnsi="Arial" w:eastAsia="Arial" w:cs="Arial"/>
                <w:sz w:val="22"/>
                <w:szCs w:val="22"/>
                <w:bdr w:val="nil"/>
                <w:lang w:val="de-DE"/>
              </w:rPr>
              <w:t xml:space="preserve"> Institutionen mit </w:t>
            </w:r>
            <w:r w:rsidR="00956AF3">
              <w:rPr>
                <w:rFonts w:ascii="Arial" w:hAnsi="Arial" w:eastAsia="Arial" w:cs="Arial"/>
                <w:sz w:val="22"/>
                <w:szCs w:val="22"/>
                <w:bdr w:val="nil"/>
                <w:lang w:val="de-DE"/>
              </w:rPr>
              <w:t>mehreren</w:t>
            </w:r>
            <w:r w:rsidR="0078680C">
              <w:rPr>
                <w:rFonts w:ascii="Arial" w:hAnsi="Arial" w:eastAsia="Arial" w:cs="Arial"/>
                <w:sz w:val="22"/>
                <w:szCs w:val="22"/>
                <w:bdr w:val="nil"/>
                <w:lang w:val="de-DE"/>
              </w:rPr>
              <w:t xml:space="preserve"> Mandat</w:t>
            </w:r>
            <w:r w:rsidR="00956AF3">
              <w:rPr>
                <w:rFonts w:ascii="Arial" w:hAnsi="Arial" w:eastAsia="Arial" w:cs="Arial"/>
                <w:sz w:val="22"/>
                <w:szCs w:val="22"/>
                <w:bdr w:val="nil"/>
                <w:lang w:val="de-DE"/>
              </w:rPr>
              <w:t>en</w:t>
            </w:r>
            <w:r w:rsidR="00DA0578">
              <w:rPr>
                <w:rFonts w:ascii="Arial" w:hAnsi="Arial" w:eastAsia="Arial" w:cs="Arial"/>
                <w:sz w:val="22"/>
                <w:szCs w:val="22"/>
                <w:bdr w:val="nil"/>
                <w:lang w:val="de-DE"/>
              </w:rPr>
              <w:t xml:space="preserve"> sein, die</w:t>
            </w:r>
            <w:r w:rsidR="0078680C">
              <w:rPr>
                <w:rFonts w:ascii="Arial" w:hAnsi="Arial" w:eastAsia="Arial" w:cs="Arial"/>
                <w:sz w:val="22"/>
                <w:szCs w:val="22"/>
                <w:bdr w:val="nil"/>
                <w:lang w:val="de-DE"/>
              </w:rPr>
              <w:t xml:space="preserve"> </w:t>
            </w:r>
            <w:r w:rsidR="00956AF3">
              <w:rPr>
                <w:rFonts w:ascii="Arial" w:hAnsi="Arial" w:eastAsia="Arial" w:cs="Arial"/>
                <w:sz w:val="22"/>
                <w:szCs w:val="22"/>
                <w:bdr w:val="nil"/>
                <w:lang w:val="de-DE"/>
              </w:rPr>
              <w:t xml:space="preserve">ein </w:t>
            </w:r>
            <w:r w:rsidR="0078680C">
              <w:rPr>
                <w:rFonts w:ascii="Arial" w:hAnsi="Arial" w:eastAsia="Arial" w:cs="Arial"/>
                <w:sz w:val="22"/>
                <w:szCs w:val="22"/>
                <w:bdr w:val="nil"/>
                <w:lang w:val="de-DE"/>
              </w:rPr>
              <w:t>Menschenrecht</w:t>
            </w:r>
            <w:r w:rsidR="00956AF3">
              <w:rPr>
                <w:rFonts w:ascii="Arial" w:hAnsi="Arial" w:eastAsia="Arial" w:cs="Arial"/>
                <w:sz w:val="22"/>
                <w:szCs w:val="22"/>
                <w:bdr w:val="nil"/>
                <w:lang w:val="de-DE"/>
              </w:rPr>
              <w:t>smandat oder das Mandat einer</w:t>
            </w:r>
            <w:r w:rsidR="00DA0578">
              <w:rPr>
                <w:rFonts w:ascii="Arial" w:hAnsi="Arial" w:eastAsia="Arial" w:cs="Arial"/>
                <w:sz w:val="22"/>
                <w:szCs w:val="22"/>
                <w:bdr w:val="nil"/>
                <w:lang w:val="de-DE"/>
              </w:rPr>
              <w:t xml:space="preserve"> Ombudsperson einschließen</w:t>
            </w:r>
            <w:r w:rsidR="0078680C">
              <w:rPr>
                <w:rFonts w:ascii="Arial" w:hAnsi="Arial" w:eastAsia="Arial" w:cs="Arial"/>
                <w:sz w:val="22"/>
                <w:szCs w:val="22"/>
                <w:bdr w:val="nil"/>
                <w:lang w:val="de-DE"/>
              </w:rPr>
              <w:t xml:space="preserve">. Im letztgenannten Fall sollten die </w:t>
            </w:r>
            <w:r w:rsidR="00DA0578">
              <w:rPr>
                <w:rFonts w:ascii="Arial" w:hAnsi="Arial" w:eastAsia="Arial" w:cs="Arial"/>
                <w:sz w:val="22"/>
                <w:szCs w:val="22"/>
                <w:bdr w:val="nil"/>
                <w:lang w:val="de-DE"/>
              </w:rPr>
              <w:t>folgenden</w:t>
            </w:r>
            <w:r w:rsidR="0078680C">
              <w:rPr>
                <w:rFonts w:ascii="Arial" w:hAnsi="Arial" w:eastAsia="Arial" w:cs="Arial"/>
                <w:sz w:val="22"/>
                <w:szCs w:val="22"/>
                <w:bdr w:val="nil"/>
                <w:lang w:val="de-DE"/>
              </w:rPr>
              <w:t xml:space="preserve"> Bestimmungen angewendet werden:</w:t>
            </w:r>
            <w:bookmarkEnd w:id="9"/>
          </w:p>
          <w:p w:rsidRPr="00C0685F" w:rsidR="002F3939" w:rsidP="00717075" w:rsidRDefault="00DA0578" w14:paraId="50420059" w14:textId="2BE579C2">
            <w:pPr>
              <w:numPr>
                <w:ilvl w:val="0"/>
                <w:numId w:val="7"/>
              </w:numPr>
              <w:tabs>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D</w:t>
            </w:r>
            <w:r w:rsidR="0078680C">
              <w:rPr>
                <w:rFonts w:ascii="Arial" w:hAnsi="Arial" w:eastAsia="Arial" w:cs="Arial"/>
                <w:sz w:val="22"/>
                <w:szCs w:val="22"/>
                <w:bdr w:val="nil"/>
                <w:lang w:val="de-DE"/>
              </w:rPr>
              <w:t>as G</w:t>
            </w:r>
            <w:r w:rsidR="00F92846">
              <w:rPr>
                <w:rFonts w:ascii="Arial" w:hAnsi="Arial" w:eastAsia="Arial" w:cs="Arial"/>
                <w:sz w:val="22"/>
                <w:szCs w:val="22"/>
                <w:bdr w:val="nil"/>
                <w:lang w:val="de-DE"/>
              </w:rPr>
              <w:t xml:space="preserve">esetz </w:t>
            </w:r>
            <w:r>
              <w:rPr>
                <w:rFonts w:ascii="Arial" w:hAnsi="Arial" w:eastAsia="Arial" w:cs="Arial"/>
                <w:sz w:val="22"/>
                <w:szCs w:val="22"/>
                <w:bdr w:val="nil"/>
                <w:lang w:val="de-DE"/>
              </w:rPr>
              <w:t xml:space="preserve">sollte </w:t>
            </w:r>
            <w:r w:rsidR="00F92846">
              <w:rPr>
                <w:rFonts w:ascii="Arial" w:hAnsi="Arial" w:eastAsia="Arial" w:cs="Arial"/>
                <w:sz w:val="22"/>
                <w:szCs w:val="22"/>
                <w:bdr w:val="nil"/>
                <w:lang w:val="de-DE"/>
              </w:rPr>
              <w:t xml:space="preserve">das Gleichheitsmandat der Institution </w:t>
            </w:r>
            <w:r>
              <w:rPr>
                <w:rFonts w:ascii="Arial" w:hAnsi="Arial" w:eastAsia="Arial" w:cs="Arial"/>
                <w:sz w:val="22"/>
                <w:szCs w:val="22"/>
                <w:bdr w:val="nil"/>
                <w:lang w:val="de-DE"/>
              </w:rPr>
              <w:t xml:space="preserve">ausdrücklich </w:t>
            </w:r>
            <w:r w:rsidR="0078680C">
              <w:rPr>
                <w:rFonts w:ascii="Arial" w:hAnsi="Arial" w:eastAsia="Arial" w:cs="Arial"/>
                <w:sz w:val="22"/>
                <w:szCs w:val="22"/>
                <w:bdr w:val="nil"/>
                <w:lang w:val="de-DE"/>
              </w:rPr>
              <w:t>festleg</w:t>
            </w:r>
            <w:r w:rsidR="00F92846">
              <w:rPr>
                <w:rFonts w:ascii="Arial" w:hAnsi="Arial" w:eastAsia="Arial" w:cs="Arial"/>
                <w:sz w:val="22"/>
                <w:szCs w:val="22"/>
                <w:bdr w:val="nil"/>
                <w:lang w:val="de-DE"/>
              </w:rPr>
              <w:t>e</w:t>
            </w:r>
            <w:r>
              <w:rPr>
                <w:rFonts w:ascii="Arial" w:hAnsi="Arial" w:eastAsia="Arial" w:cs="Arial"/>
                <w:sz w:val="22"/>
                <w:szCs w:val="22"/>
                <w:bdr w:val="nil"/>
                <w:lang w:val="de-DE"/>
              </w:rPr>
              <w:t>n</w:t>
            </w:r>
            <w:r w:rsidR="0078680C">
              <w:rPr>
                <w:rFonts w:ascii="Arial" w:hAnsi="Arial" w:eastAsia="Arial" w:cs="Arial"/>
                <w:sz w:val="22"/>
                <w:szCs w:val="22"/>
                <w:bdr w:val="nil"/>
                <w:lang w:val="de-DE"/>
              </w:rPr>
              <w:t>.</w:t>
            </w:r>
          </w:p>
          <w:p w:rsidRPr="00C0685F" w:rsidR="002F3939" w:rsidP="00717075" w:rsidRDefault="00F92846" w14:paraId="0F144228" w14:textId="4BEBC3E5">
            <w:pPr>
              <w:numPr>
                <w:ilvl w:val="0"/>
                <w:numId w:val="7"/>
              </w:numPr>
              <w:tabs>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Jedem</w:t>
            </w:r>
            <w:r w:rsidR="00DA0578">
              <w:rPr>
                <w:rFonts w:ascii="Arial" w:hAnsi="Arial" w:eastAsia="Arial" w:cs="Arial"/>
                <w:sz w:val="22"/>
                <w:szCs w:val="22"/>
                <w:bdr w:val="nil"/>
                <w:lang w:val="de-DE"/>
              </w:rPr>
              <w:t xml:space="preserve"> einzelne</w:t>
            </w:r>
            <w:r>
              <w:rPr>
                <w:rFonts w:ascii="Arial" w:hAnsi="Arial" w:eastAsia="Arial" w:cs="Arial"/>
                <w:sz w:val="22"/>
                <w:szCs w:val="22"/>
                <w:bdr w:val="nil"/>
                <w:lang w:val="de-DE"/>
              </w:rPr>
              <w:t>n</w:t>
            </w:r>
            <w:r w:rsidR="00DA0578">
              <w:rPr>
                <w:rFonts w:ascii="Arial" w:hAnsi="Arial" w:eastAsia="Arial" w:cs="Arial"/>
                <w:sz w:val="22"/>
                <w:szCs w:val="22"/>
                <w:bdr w:val="nil"/>
                <w:lang w:val="de-DE"/>
              </w:rPr>
              <w:t xml:space="preserve"> Mandat </w:t>
            </w:r>
            <w:r w:rsidR="0078680C">
              <w:rPr>
                <w:rFonts w:ascii="Arial" w:hAnsi="Arial" w:eastAsia="Arial" w:cs="Arial"/>
                <w:sz w:val="22"/>
                <w:szCs w:val="22"/>
                <w:bdr w:val="nil"/>
                <w:lang w:val="de-DE"/>
              </w:rPr>
              <w:t xml:space="preserve">sollten angemessene personelle und finanzielle Mittel </w:t>
            </w:r>
            <w:r w:rsidR="00DA0578">
              <w:rPr>
                <w:rFonts w:ascii="Arial" w:hAnsi="Arial" w:eastAsia="Arial" w:cs="Arial"/>
                <w:sz w:val="22"/>
                <w:szCs w:val="22"/>
                <w:bdr w:val="nil"/>
                <w:lang w:val="de-DE"/>
              </w:rPr>
              <w:t>zug</w:t>
            </w:r>
            <w:r w:rsidR="0078680C">
              <w:rPr>
                <w:rFonts w:ascii="Arial" w:hAnsi="Arial" w:eastAsia="Arial" w:cs="Arial"/>
                <w:sz w:val="22"/>
                <w:szCs w:val="22"/>
                <w:bdr w:val="nil"/>
                <w:lang w:val="de-DE"/>
              </w:rPr>
              <w:t>ewiesen werden, um eine</w:t>
            </w:r>
            <w:r w:rsidR="00DA0578">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w:t>
            </w:r>
            <w:r w:rsidR="00DA0578">
              <w:rPr>
                <w:rFonts w:ascii="Arial" w:hAnsi="Arial" w:eastAsia="Arial" w:cs="Arial"/>
                <w:sz w:val="22"/>
                <w:szCs w:val="22"/>
                <w:bdr w:val="nil"/>
                <w:lang w:val="de-DE"/>
              </w:rPr>
              <w:t xml:space="preserve">klaren und </w:t>
            </w:r>
            <w:r w:rsidR="0078680C">
              <w:rPr>
                <w:rFonts w:ascii="Arial" w:hAnsi="Arial" w:eastAsia="Arial" w:cs="Arial"/>
                <w:sz w:val="22"/>
                <w:szCs w:val="22"/>
                <w:bdr w:val="nil"/>
                <w:lang w:val="de-DE"/>
              </w:rPr>
              <w:t>angemessene</w:t>
            </w:r>
            <w:r w:rsidR="00DA0578">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Fokus auf das Gleich</w:t>
            </w:r>
            <w:r w:rsidR="00DA0578">
              <w:rPr>
                <w:rFonts w:ascii="Arial" w:hAnsi="Arial" w:eastAsia="Arial" w:cs="Arial"/>
                <w:sz w:val="22"/>
                <w:szCs w:val="22"/>
                <w:bdr w:val="nil"/>
                <w:lang w:val="de-DE"/>
              </w:rPr>
              <w:t>heitsm</w:t>
            </w:r>
            <w:r w:rsidR="0078680C">
              <w:rPr>
                <w:rFonts w:ascii="Arial" w:hAnsi="Arial" w:eastAsia="Arial" w:cs="Arial"/>
                <w:sz w:val="22"/>
                <w:szCs w:val="22"/>
                <w:bdr w:val="nil"/>
                <w:lang w:val="de-DE"/>
              </w:rPr>
              <w:t>andat zu gewährleisten.</w:t>
            </w:r>
          </w:p>
          <w:p w:rsidRPr="00C0685F" w:rsidR="002F3939" w:rsidP="00717075" w:rsidRDefault="0078680C" w14:paraId="173ABA9F" w14:textId="44266EE8">
            <w:pPr>
              <w:numPr>
                <w:ilvl w:val="0"/>
                <w:numId w:val="7"/>
              </w:numPr>
              <w:tabs>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Die Führungs-, Beratungs- und Managementstrukturen sollten so organisiert werden, dass eine klare Leitung, Förderung und Sichtbarkeit des Gleich</w:t>
            </w:r>
            <w:r w:rsidR="00E3434C">
              <w:rPr>
                <w:rFonts w:ascii="Arial" w:hAnsi="Arial" w:eastAsia="Arial" w:cs="Arial"/>
                <w:sz w:val="22"/>
                <w:szCs w:val="22"/>
                <w:bdr w:val="nil"/>
                <w:lang w:val="de-DE"/>
              </w:rPr>
              <w:t>heits</w:t>
            </w:r>
            <w:r>
              <w:rPr>
                <w:rFonts w:ascii="Arial" w:hAnsi="Arial" w:eastAsia="Arial" w:cs="Arial"/>
                <w:sz w:val="22"/>
                <w:szCs w:val="22"/>
                <w:bdr w:val="nil"/>
                <w:lang w:val="de-DE"/>
              </w:rPr>
              <w:t xml:space="preserve">mandats </w:t>
            </w:r>
            <w:r w:rsidR="002A166A">
              <w:rPr>
                <w:rFonts w:ascii="Arial" w:hAnsi="Arial" w:eastAsia="Arial" w:cs="Arial"/>
                <w:sz w:val="22"/>
                <w:szCs w:val="22"/>
                <w:bdr w:val="nil"/>
                <w:lang w:val="de-DE"/>
              </w:rPr>
              <w:t>gewährleistet ist</w:t>
            </w:r>
            <w:r>
              <w:rPr>
                <w:rFonts w:ascii="Arial" w:hAnsi="Arial" w:eastAsia="Arial" w:cs="Arial"/>
                <w:sz w:val="22"/>
                <w:szCs w:val="22"/>
                <w:bdr w:val="nil"/>
                <w:lang w:val="de-DE"/>
              </w:rPr>
              <w:t>.</w:t>
            </w:r>
          </w:p>
          <w:p w:rsidRPr="00C0685F" w:rsidR="002F3939" w:rsidP="00036B39" w:rsidRDefault="00036B39" w14:paraId="4316212E" w14:textId="79FCD6C1">
            <w:pPr>
              <w:numPr>
                <w:ilvl w:val="0"/>
                <w:numId w:val="7"/>
              </w:numPr>
              <w:tabs>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In der </w:t>
            </w:r>
            <w:r w:rsidR="002A166A">
              <w:rPr>
                <w:rFonts w:ascii="Arial" w:hAnsi="Arial" w:eastAsia="Arial" w:cs="Arial"/>
                <w:sz w:val="22"/>
                <w:szCs w:val="22"/>
                <w:bdr w:val="nil"/>
                <w:lang w:val="de-DE"/>
              </w:rPr>
              <w:t>Regelung über die Berichtspflichten</w:t>
            </w:r>
            <w:r w:rsidR="0078680C">
              <w:rPr>
                <w:rFonts w:ascii="Arial" w:hAnsi="Arial" w:eastAsia="Arial" w:cs="Arial"/>
                <w:sz w:val="22"/>
                <w:szCs w:val="22"/>
                <w:bdr w:val="nil"/>
                <w:lang w:val="de-DE"/>
              </w:rPr>
              <w:t xml:space="preserve"> sollte den </w:t>
            </w:r>
            <w:r w:rsidR="00531EBE">
              <w:rPr>
                <w:rFonts w:ascii="Arial" w:hAnsi="Arial" w:eastAsia="Arial" w:cs="Arial"/>
                <w:sz w:val="22"/>
                <w:szCs w:val="22"/>
                <w:bdr w:val="nil"/>
                <w:lang w:val="de-DE"/>
              </w:rPr>
              <w:t>Problemen im Bereich des Gleichheitsmandats und den im Rahmen dieses Mandats entfalteten Tätigkeiten ein angemessener Stellenwert</w:t>
            </w:r>
            <w:r>
              <w:rPr>
                <w:rFonts w:ascii="Arial" w:hAnsi="Arial" w:eastAsia="Arial" w:cs="Arial"/>
                <w:sz w:val="22"/>
                <w:szCs w:val="22"/>
                <w:bdr w:val="nil"/>
                <w:lang w:val="de-DE"/>
              </w:rPr>
              <w:t xml:space="preserve"> eingeräumt we</w:t>
            </w:r>
            <w:r w:rsidR="00531EBE">
              <w:rPr>
                <w:rFonts w:ascii="Arial" w:hAnsi="Arial" w:eastAsia="Arial" w:cs="Arial"/>
                <w:sz w:val="22"/>
                <w:szCs w:val="22"/>
                <w:bdr w:val="nil"/>
                <w:lang w:val="de-DE"/>
              </w:rPr>
              <w:t>rd</w:t>
            </w:r>
            <w:r>
              <w:rPr>
                <w:rFonts w:ascii="Arial" w:hAnsi="Arial" w:eastAsia="Arial" w:cs="Arial"/>
                <w:sz w:val="22"/>
                <w:szCs w:val="22"/>
                <w:bdr w:val="nil"/>
                <w:lang w:val="de-DE"/>
              </w:rPr>
              <w:t>en</w:t>
            </w:r>
            <w:r w:rsidR="00531EBE">
              <w:rPr>
                <w:rFonts w:ascii="Arial" w:hAnsi="Arial" w:eastAsia="Arial" w:cs="Arial"/>
                <w:sz w:val="22"/>
                <w:szCs w:val="22"/>
                <w:bdr w:val="nil"/>
                <w:lang w:val="de-DE"/>
              </w:rPr>
              <w:t xml:space="preserve">. </w:t>
            </w:r>
          </w:p>
        </w:tc>
      </w:tr>
      <w:tr w:rsidRPr="00046FAE" w:rsidR="00D8651C" w:rsidTr="00C0685F" w14:paraId="70339748" w14:textId="77777777">
        <w:trPr>
          <w:trHeight w:val="1134"/>
        </w:trPr>
        <w:tc>
          <w:tcPr>
            <w:tcW w:w="9640" w:type="dxa"/>
            <w:shd w:val="clear" w:color="auto" w:fill="auto"/>
            <w:tcMar>
              <w:left w:w="108" w:type="dxa"/>
            </w:tcMar>
          </w:tcPr>
          <w:p w:rsidRPr="00C0685F" w:rsidR="002F3939" w:rsidP="00FA6108" w:rsidRDefault="00B021E6" w14:paraId="017B3F2F" w14:textId="218215AA">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r>
              <w:rPr>
                <w:rFonts w:ascii="Arial" w:hAnsi="Arial" w:eastAsia="Arial" w:cs="Arial"/>
                <w:sz w:val="22"/>
                <w:szCs w:val="22"/>
                <w:bdr w:val="nil"/>
                <w:lang w:val="de-DE"/>
              </w:rPr>
              <w:t>Ist eine</w:t>
            </w:r>
            <w:r w:rsidR="0078680C">
              <w:rPr>
                <w:rFonts w:ascii="Arial" w:hAnsi="Arial" w:eastAsia="Arial" w:cs="Arial"/>
                <w:sz w:val="22"/>
                <w:szCs w:val="22"/>
                <w:bdr w:val="nil"/>
                <w:lang w:val="de-DE"/>
              </w:rPr>
              <w:t xml:space="preserve"> </w:t>
            </w:r>
            <w:r w:rsidR="00C90BFE">
              <w:rPr>
                <w:rFonts w:ascii="Arial" w:hAnsi="Arial" w:eastAsia="Arial" w:cs="Arial"/>
                <w:sz w:val="22"/>
                <w:szCs w:val="22"/>
                <w:bdr w:val="nil"/>
                <w:lang w:val="de-DE"/>
              </w:rPr>
              <w:t>Gleichheitsstelle</w:t>
            </w:r>
            <w:r w:rsidR="00036B39">
              <w:rPr>
                <w:rFonts w:ascii="Arial" w:hAnsi="Arial" w:eastAsia="Arial" w:cs="Arial"/>
                <w:sz w:val="22"/>
                <w:szCs w:val="22"/>
                <w:bdr w:val="nil"/>
                <w:lang w:val="de-DE"/>
              </w:rPr>
              <w:t xml:space="preserve"> Teil </w:t>
            </w:r>
            <w:r>
              <w:rPr>
                <w:rFonts w:ascii="Arial" w:hAnsi="Arial" w:eastAsia="Arial" w:cs="Arial"/>
                <w:sz w:val="22"/>
                <w:szCs w:val="22"/>
                <w:bdr w:val="nil"/>
                <w:lang w:val="de-DE"/>
              </w:rPr>
              <w:t>einer</w:t>
            </w:r>
            <w:r w:rsidR="00036B39">
              <w:rPr>
                <w:rFonts w:ascii="Arial" w:hAnsi="Arial" w:eastAsia="Arial" w:cs="Arial"/>
                <w:sz w:val="22"/>
                <w:szCs w:val="22"/>
                <w:bdr w:val="nil"/>
                <w:lang w:val="de-DE"/>
              </w:rPr>
              <w:t xml:space="preserve"> Institution mit m</w:t>
            </w:r>
            <w:r w:rsidR="0078680C">
              <w:rPr>
                <w:rFonts w:ascii="Arial" w:hAnsi="Arial" w:eastAsia="Arial" w:cs="Arial"/>
                <w:sz w:val="22"/>
                <w:szCs w:val="22"/>
                <w:bdr w:val="nil"/>
                <w:lang w:val="de-DE"/>
              </w:rPr>
              <w:t>ehr</w:t>
            </w:r>
            <w:r w:rsidR="00036B39">
              <w:rPr>
                <w:rFonts w:ascii="Arial" w:hAnsi="Arial" w:eastAsia="Arial" w:cs="Arial"/>
                <w:sz w:val="22"/>
                <w:szCs w:val="22"/>
                <w:bdr w:val="nil"/>
                <w:lang w:val="de-DE"/>
              </w:rPr>
              <w:t>eren Mandaten</w:t>
            </w:r>
            <w:r w:rsidR="0078680C">
              <w:rPr>
                <w:rFonts w:ascii="Arial" w:hAnsi="Arial" w:eastAsia="Arial" w:cs="Arial"/>
                <w:sz w:val="22"/>
                <w:szCs w:val="22"/>
                <w:bdr w:val="nil"/>
                <w:lang w:val="de-DE"/>
              </w:rPr>
              <w:t xml:space="preserve">, </w:t>
            </w:r>
            <w:r w:rsidR="002A166A">
              <w:rPr>
                <w:rFonts w:ascii="Arial" w:hAnsi="Arial" w:eastAsia="Arial" w:cs="Arial"/>
                <w:sz w:val="22"/>
                <w:szCs w:val="22"/>
                <w:bdr w:val="nil"/>
                <w:lang w:val="de-DE"/>
              </w:rPr>
              <w:t>findet</w:t>
            </w:r>
            <w:r w:rsidR="0078680C">
              <w:rPr>
                <w:rFonts w:ascii="Arial" w:hAnsi="Arial" w:eastAsia="Arial" w:cs="Arial"/>
                <w:sz w:val="22"/>
                <w:szCs w:val="22"/>
                <w:bdr w:val="nil"/>
                <w:lang w:val="de-DE"/>
              </w:rPr>
              <w:t xml:space="preserve"> diese Allgemeine </w:t>
            </w:r>
            <w:r w:rsidR="00036B39">
              <w:rPr>
                <w:rFonts w:ascii="Arial" w:hAnsi="Arial" w:eastAsia="Arial" w:cs="Arial"/>
                <w:sz w:val="22"/>
                <w:szCs w:val="22"/>
                <w:bdr w:val="nil"/>
                <w:lang w:val="de-DE"/>
              </w:rPr>
              <w:t>Politike</w:t>
            </w:r>
            <w:r w:rsidR="0078680C">
              <w:rPr>
                <w:rFonts w:ascii="Arial" w:hAnsi="Arial" w:eastAsia="Arial" w:cs="Arial"/>
                <w:sz w:val="22"/>
                <w:szCs w:val="22"/>
                <w:bdr w:val="nil"/>
                <w:lang w:val="de-DE"/>
              </w:rPr>
              <w:t>mpfehlung auf diese Institution und deren Tätigkeit im Bereich der Gleich</w:t>
            </w:r>
            <w:r w:rsidR="00E3434C">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w:t>
            </w:r>
            <w:r w:rsidR="002A166A">
              <w:rPr>
                <w:rFonts w:ascii="Arial" w:hAnsi="Arial" w:eastAsia="Arial" w:cs="Arial"/>
                <w:sz w:val="22"/>
                <w:szCs w:val="22"/>
                <w:bdr w:val="nil"/>
                <w:lang w:val="de-DE"/>
              </w:rPr>
              <w:t>Anwendung</w:t>
            </w:r>
            <w:r w:rsidR="0078680C">
              <w:rPr>
                <w:rFonts w:ascii="Arial" w:hAnsi="Arial" w:eastAsia="Arial" w:cs="Arial"/>
                <w:sz w:val="22"/>
                <w:szCs w:val="22"/>
                <w:bdr w:val="nil"/>
                <w:lang w:val="de-DE"/>
              </w:rPr>
              <w:t xml:space="preserve">. Die </w:t>
            </w:r>
            <w:r w:rsidR="002A166A">
              <w:rPr>
                <w:rFonts w:ascii="Arial" w:hAnsi="Arial" w:eastAsia="Arial" w:cs="Arial"/>
                <w:sz w:val="22"/>
                <w:szCs w:val="22"/>
                <w:bdr w:val="nil"/>
                <w:lang w:val="de-DE"/>
              </w:rPr>
              <w:t xml:space="preserve">Kompetenzen </w:t>
            </w:r>
            <w:r w:rsidR="0078680C">
              <w:rPr>
                <w:rFonts w:ascii="Arial" w:hAnsi="Arial" w:eastAsia="Arial" w:cs="Arial"/>
                <w:sz w:val="22"/>
                <w:szCs w:val="22"/>
                <w:bdr w:val="nil"/>
                <w:lang w:val="de-DE"/>
              </w:rPr>
              <w:t>und Befugnisse, die mit den</w:t>
            </w:r>
            <w:r w:rsidR="00036B39">
              <w:rPr>
                <w:rFonts w:ascii="Arial" w:hAnsi="Arial" w:eastAsia="Arial" w:cs="Arial"/>
                <w:sz w:val="22"/>
                <w:szCs w:val="22"/>
                <w:bdr w:val="nil"/>
                <w:lang w:val="de-DE"/>
              </w:rPr>
              <w:t xml:space="preserve"> verschiedenen</w:t>
            </w:r>
            <w:r w:rsidR="0078680C">
              <w:rPr>
                <w:rFonts w:ascii="Arial" w:hAnsi="Arial" w:eastAsia="Arial" w:cs="Arial"/>
                <w:sz w:val="22"/>
                <w:szCs w:val="22"/>
                <w:bdr w:val="nil"/>
                <w:lang w:val="de-DE"/>
              </w:rPr>
              <w:t xml:space="preserve"> Mandaten </w:t>
            </w:r>
            <w:r w:rsidR="002A166A">
              <w:rPr>
                <w:rFonts w:ascii="Arial" w:hAnsi="Arial" w:eastAsia="Arial" w:cs="Arial"/>
                <w:sz w:val="22"/>
                <w:szCs w:val="22"/>
                <w:bdr w:val="nil"/>
                <w:lang w:val="de-DE"/>
              </w:rPr>
              <w:t xml:space="preserve">der Institution </w:t>
            </w:r>
            <w:r w:rsidR="0078680C">
              <w:rPr>
                <w:rFonts w:ascii="Arial" w:hAnsi="Arial" w:eastAsia="Arial" w:cs="Arial"/>
                <w:sz w:val="22"/>
                <w:szCs w:val="22"/>
                <w:bdr w:val="nil"/>
                <w:lang w:val="de-DE"/>
              </w:rPr>
              <w:t xml:space="preserve">verbunden sind, sollten aufeinander abgestimmt und </w:t>
            </w:r>
            <w:r w:rsidR="00036B39">
              <w:rPr>
                <w:rFonts w:ascii="Arial" w:hAnsi="Arial" w:eastAsia="Arial" w:cs="Arial"/>
                <w:sz w:val="22"/>
                <w:szCs w:val="22"/>
                <w:bdr w:val="nil"/>
                <w:lang w:val="de-DE"/>
              </w:rPr>
              <w:t>nach oben an</w:t>
            </w:r>
            <w:r w:rsidR="0078680C">
              <w:rPr>
                <w:rFonts w:ascii="Arial" w:hAnsi="Arial" w:eastAsia="Arial" w:cs="Arial"/>
                <w:sz w:val="22"/>
                <w:szCs w:val="22"/>
                <w:bdr w:val="nil"/>
                <w:lang w:val="de-DE"/>
              </w:rPr>
              <w:t>geglich</w:t>
            </w:r>
            <w:r w:rsidR="00036B39">
              <w:rPr>
                <w:rFonts w:ascii="Arial" w:hAnsi="Arial" w:eastAsia="Arial" w:cs="Arial"/>
                <w:sz w:val="22"/>
                <w:szCs w:val="22"/>
                <w:bdr w:val="nil"/>
                <w:lang w:val="de-DE"/>
              </w:rPr>
              <w:t xml:space="preserve">en werden, so dass </w:t>
            </w:r>
            <w:r w:rsidR="00FA6108">
              <w:rPr>
                <w:rFonts w:ascii="Arial" w:hAnsi="Arial" w:eastAsia="Arial" w:cs="Arial"/>
                <w:sz w:val="22"/>
                <w:szCs w:val="22"/>
                <w:bdr w:val="nil"/>
                <w:lang w:val="de-DE"/>
              </w:rPr>
              <w:t xml:space="preserve">für </w:t>
            </w:r>
            <w:r w:rsidR="00036B39">
              <w:rPr>
                <w:rFonts w:ascii="Arial" w:hAnsi="Arial" w:eastAsia="Arial" w:cs="Arial"/>
                <w:sz w:val="22"/>
                <w:szCs w:val="22"/>
                <w:bdr w:val="nil"/>
                <w:lang w:val="de-DE"/>
              </w:rPr>
              <w:t>jedes Mandat, soweit</w:t>
            </w:r>
            <w:r w:rsidR="0078680C">
              <w:rPr>
                <w:rFonts w:ascii="Arial" w:hAnsi="Arial" w:eastAsia="Arial" w:cs="Arial"/>
                <w:sz w:val="22"/>
                <w:szCs w:val="22"/>
                <w:bdr w:val="nil"/>
                <w:lang w:val="de-DE"/>
              </w:rPr>
              <w:t xml:space="preserve"> möglich</w:t>
            </w:r>
            <w:r w:rsidR="00036B39">
              <w:rPr>
                <w:rFonts w:ascii="Arial" w:hAnsi="Arial" w:eastAsia="Arial" w:cs="Arial"/>
                <w:sz w:val="22"/>
                <w:szCs w:val="22"/>
                <w:bdr w:val="nil"/>
                <w:lang w:val="de-DE"/>
              </w:rPr>
              <w:t>, die</w:t>
            </w:r>
            <w:r w:rsidR="0078680C">
              <w:rPr>
                <w:rFonts w:ascii="Arial" w:hAnsi="Arial" w:eastAsia="Arial" w:cs="Arial"/>
                <w:sz w:val="22"/>
                <w:szCs w:val="22"/>
                <w:bdr w:val="nil"/>
                <w:lang w:val="de-DE"/>
              </w:rPr>
              <w:t xml:space="preserve"> </w:t>
            </w:r>
            <w:r w:rsidR="00FA6108">
              <w:rPr>
                <w:rFonts w:ascii="Arial" w:hAnsi="Arial" w:eastAsia="Arial" w:cs="Arial"/>
                <w:sz w:val="22"/>
                <w:szCs w:val="22"/>
                <w:bdr w:val="nil"/>
                <w:lang w:val="de-DE"/>
              </w:rPr>
              <w:t>weitreichendsten</w:t>
            </w:r>
            <w:r w:rsidR="0078680C">
              <w:rPr>
                <w:rFonts w:ascii="Arial" w:hAnsi="Arial" w:eastAsia="Arial" w:cs="Arial"/>
                <w:sz w:val="22"/>
                <w:szCs w:val="22"/>
                <w:bdr w:val="nil"/>
                <w:lang w:val="de-DE"/>
              </w:rPr>
              <w:t xml:space="preserv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en und Befugnisse </w:t>
            </w:r>
            <w:r w:rsidR="00FA6108">
              <w:rPr>
                <w:rFonts w:ascii="Arial" w:hAnsi="Arial" w:eastAsia="Arial" w:cs="Arial"/>
                <w:sz w:val="22"/>
                <w:szCs w:val="22"/>
                <w:bdr w:val="nil"/>
                <w:lang w:val="de-DE"/>
              </w:rPr>
              <w:t>zur Verfügung stehen</w:t>
            </w:r>
            <w:r w:rsidR="0078680C">
              <w:rPr>
                <w:rFonts w:ascii="Arial" w:hAnsi="Arial" w:eastAsia="Arial" w:cs="Arial"/>
                <w:sz w:val="22"/>
                <w:szCs w:val="22"/>
                <w:bdr w:val="nil"/>
                <w:lang w:val="de-DE"/>
              </w:rPr>
              <w:t xml:space="preserve">, die </w:t>
            </w:r>
            <w:r w:rsidR="00036B39">
              <w:rPr>
                <w:rFonts w:ascii="Arial" w:hAnsi="Arial" w:eastAsia="Arial" w:cs="Arial"/>
                <w:sz w:val="22"/>
                <w:szCs w:val="22"/>
                <w:bdr w:val="nil"/>
                <w:lang w:val="de-DE"/>
              </w:rPr>
              <w:t>für eines der anderen Mandate</w:t>
            </w:r>
            <w:r w:rsidR="0078680C">
              <w:rPr>
                <w:rFonts w:ascii="Arial" w:hAnsi="Arial" w:eastAsia="Arial" w:cs="Arial"/>
                <w:sz w:val="22"/>
                <w:szCs w:val="22"/>
                <w:bdr w:val="nil"/>
                <w:lang w:val="de-DE"/>
              </w:rPr>
              <w:t xml:space="preserve"> zur Verfügung </w:t>
            </w:r>
            <w:r w:rsidR="00FA6108">
              <w:rPr>
                <w:rFonts w:ascii="Arial" w:hAnsi="Arial" w:eastAsia="Arial" w:cs="Arial"/>
                <w:sz w:val="22"/>
                <w:szCs w:val="22"/>
                <w:bdr w:val="nil"/>
                <w:lang w:val="de-DE"/>
              </w:rPr>
              <w:t>ge</w:t>
            </w:r>
            <w:r w:rsidR="0078680C">
              <w:rPr>
                <w:rFonts w:ascii="Arial" w:hAnsi="Arial" w:eastAsia="Arial" w:cs="Arial"/>
                <w:sz w:val="22"/>
                <w:szCs w:val="22"/>
                <w:bdr w:val="nil"/>
                <w:lang w:val="de-DE"/>
              </w:rPr>
              <w:t>ste</w:t>
            </w:r>
            <w:r w:rsidR="00FA6108">
              <w:rPr>
                <w:rFonts w:ascii="Arial" w:hAnsi="Arial" w:eastAsia="Arial" w:cs="Arial"/>
                <w:sz w:val="22"/>
                <w:szCs w:val="22"/>
                <w:bdr w:val="nil"/>
                <w:lang w:val="de-DE"/>
              </w:rPr>
              <w:t>llt wurde</w:t>
            </w:r>
            <w:r w:rsidR="0078680C">
              <w:rPr>
                <w:rFonts w:ascii="Arial" w:hAnsi="Arial" w:eastAsia="Arial" w:cs="Arial"/>
                <w:sz w:val="22"/>
                <w:szCs w:val="22"/>
                <w:bdr w:val="nil"/>
                <w:lang w:val="de-DE"/>
              </w:rPr>
              <w:t xml:space="preserve">n. </w:t>
            </w:r>
          </w:p>
        </w:tc>
      </w:tr>
      <w:tr w:rsidRPr="00046FAE" w:rsidR="00D8651C" w:rsidTr="00C0685F" w14:paraId="5227DE2C" w14:textId="77777777">
        <w:trPr>
          <w:trHeight w:val="283"/>
        </w:trPr>
        <w:tc>
          <w:tcPr>
            <w:tcW w:w="9640" w:type="dxa"/>
            <w:shd w:val="clear" w:color="auto" w:fill="auto"/>
            <w:tcMar>
              <w:left w:w="108" w:type="dxa"/>
            </w:tcMar>
          </w:tcPr>
          <w:p w:rsidRPr="006C29B1" w:rsidR="002F3939" w:rsidP="00717075" w:rsidRDefault="0078680C" w14:paraId="063FA19E" w14:textId="75F929BD">
            <w:pPr>
              <w:numPr>
                <w:ilvl w:val="0"/>
                <w:numId w:val="1"/>
              </w:numPr>
              <w:tabs>
                <w:tab w:val="left" w:pos="0"/>
                <w:tab w:val="left" w:pos="709"/>
                <w:tab w:val="left" w:pos="1276"/>
              </w:tabs>
              <w:spacing w:before="100" w:beforeAutospacing="1" w:after="100" w:afterAutospacing="1" w:line="240" w:lineRule="exact"/>
              <w:jc w:val="both"/>
              <w:rPr>
                <w:rFonts w:ascii="Arial" w:hAnsi="Arial" w:cs="Arial"/>
                <w:sz w:val="22"/>
                <w:szCs w:val="22"/>
                <w:lang w:val="de-DE"/>
              </w:rPr>
            </w:pPr>
            <w:bookmarkStart w:name="_Ref486587196" w:id="10"/>
            <w:r>
              <w:rPr>
                <w:rFonts w:ascii="Arial" w:hAnsi="Arial" w:eastAsia="Arial" w:cs="Arial"/>
                <w:sz w:val="22"/>
                <w:szCs w:val="22"/>
                <w:bdr w:val="nil"/>
                <w:lang w:val="de-DE"/>
              </w:rPr>
              <w:t xml:space="preserve">Wenn verschiedene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existieren, sollten deren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 </w:t>
            </w:r>
            <w:r w:rsidR="00B021E6">
              <w:rPr>
                <w:rFonts w:ascii="Arial" w:hAnsi="Arial" w:eastAsia="Arial" w:cs="Arial"/>
                <w:sz w:val="22"/>
                <w:szCs w:val="22"/>
                <w:bdr w:val="nil"/>
                <w:lang w:val="de-DE"/>
              </w:rPr>
              <w:t xml:space="preserve">nach oben angeglichen </w:t>
            </w:r>
            <w:r>
              <w:rPr>
                <w:rFonts w:ascii="Arial" w:hAnsi="Arial" w:eastAsia="Arial" w:cs="Arial"/>
                <w:sz w:val="22"/>
                <w:szCs w:val="22"/>
                <w:bdr w:val="nil"/>
                <w:lang w:val="de-DE"/>
              </w:rPr>
              <w:t xml:space="preserve">werden, und es sollte eine Koordinierung gewährleistet werden, um </w:t>
            </w:r>
            <w:r w:rsidR="00B021E6">
              <w:rPr>
                <w:rFonts w:ascii="Arial" w:hAnsi="Arial" w:eastAsia="Arial" w:cs="Arial"/>
                <w:sz w:val="22"/>
                <w:szCs w:val="22"/>
                <w:bdr w:val="nil"/>
                <w:lang w:val="de-DE"/>
              </w:rPr>
              <w:t xml:space="preserve">sich mit </w:t>
            </w:r>
            <w:r>
              <w:rPr>
                <w:rFonts w:ascii="Arial" w:hAnsi="Arial" w:eastAsia="Arial" w:cs="Arial"/>
                <w:sz w:val="22"/>
                <w:szCs w:val="22"/>
                <w:bdr w:val="nil"/>
                <w:lang w:val="de-DE"/>
              </w:rPr>
              <w:t>Überschneidungen zu be</w:t>
            </w:r>
            <w:r w:rsidR="00B021E6">
              <w:rPr>
                <w:rFonts w:ascii="Arial" w:hAnsi="Arial" w:eastAsia="Arial" w:cs="Arial"/>
                <w:sz w:val="22"/>
                <w:szCs w:val="22"/>
                <w:bdr w:val="nil"/>
                <w:lang w:val="de-DE"/>
              </w:rPr>
              <w:t>fassen</w:t>
            </w:r>
            <w:r>
              <w:rPr>
                <w:rFonts w:ascii="Arial" w:hAnsi="Arial" w:eastAsia="Arial" w:cs="Arial"/>
                <w:sz w:val="22"/>
                <w:szCs w:val="22"/>
                <w:bdr w:val="nil"/>
                <w:lang w:val="de-DE"/>
              </w:rPr>
              <w:t xml:space="preserve">, ein gemeinsames Vorgehen zu ermöglichen und die Nutzung von Ressourcen zu optimieren. Die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eine gemeinsame Auslegung der Antidiskriminierungsgesetze entwickeln und </w:t>
            </w:r>
            <w:r w:rsidR="00B021E6">
              <w:rPr>
                <w:rFonts w:ascii="Arial" w:hAnsi="Arial" w:eastAsia="Arial" w:cs="Arial"/>
                <w:sz w:val="22"/>
                <w:szCs w:val="22"/>
                <w:bdr w:val="nil"/>
                <w:lang w:val="de-DE"/>
              </w:rPr>
              <w:t>i</w:t>
            </w:r>
            <w:r>
              <w:rPr>
                <w:rFonts w:ascii="Arial" w:hAnsi="Arial" w:eastAsia="Arial" w:cs="Arial"/>
                <w:sz w:val="22"/>
                <w:szCs w:val="22"/>
                <w:bdr w:val="nil"/>
                <w:lang w:val="de-DE"/>
              </w:rPr>
              <w:t xml:space="preserve">hre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 </w:t>
            </w:r>
            <w:r w:rsidR="00B021E6">
              <w:rPr>
                <w:rFonts w:ascii="Arial" w:hAnsi="Arial" w:eastAsia="Arial" w:cs="Arial"/>
                <w:sz w:val="22"/>
                <w:szCs w:val="22"/>
                <w:bdr w:val="nil"/>
                <w:lang w:val="de-DE"/>
              </w:rPr>
              <w:t>in koordinierter Weise nutzen</w:t>
            </w:r>
            <w:r>
              <w:rPr>
                <w:rFonts w:ascii="Arial" w:hAnsi="Arial" w:eastAsia="Arial" w:cs="Arial"/>
                <w:sz w:val="22"/>
                <w:szCs w:val="22"/>
                <w:bdr w:val="nil"/>
                <w:lang w:val="de-DE"/>
              </w:rPr>
              <w:t>.</w:t>
            </w:r>
            <w:bookmarkEnd w:id="10"/>
            <w:r>
              <w:rPr>
                <w:rFonts w:ascii="Arial" w:hAnsi="Arial" w:eastAsia="Arial" w:cs="Arial"/>
                <w:sz w:val="22"/>
                <w:szCs w:val="22"/>
                <w:bdr w:val="nil"/>
                <w:lang w:val="de-DE"/>
              </w:rPr>
              <w:t xml:space="preserve"> </w:t>
            </w:r>
          </w:p>
        </w:tc>
      </w:tr>
      <w:tr w:rsidR="00D8651C" w:rsidTr="00C0685F" w14:paraId="6929C94F" w14:textId="77777777">
        <w:tc>
          <w:tcPr>
            <w:tcW w:w="9640" w:type="dxa"/>
            <w:shd w:val="clear" w:color="auto" w:fill="auto"/>
            <w:tcMar>
              <w:left w:w="108" w:type="dxa"/>
            </w:tcMar>
          </w:tcPr>
          <w:p w:rsidRPr="006353CB" w:rsidR="002F3939" w:rsidP="00717075" w:rsidRDefault="00434F75" w14:paraId="5E832B87" w14:textId="72C32DE5">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en-GB"/>
              </w:rPr>
            </w:pPr>
            <w:r>
              <w:rPr>
                <w:rFonts w:ascii="Arial" w:hAnsi="Arial" w:eastAsia="Arial" w:cs="Arial"/>
                <w:b/>
                <w:bCs/>
                <w:sz w:val="22"/>
                <w:szCs w:val="22"/>
                <w:bdr w:val="nil"/>
                <w:lang w:val="de-DE"/>
              </w:rPr>
              <w:t>Funktionen</w:t>
            </w:r>
          </w:p>
        </w:tc>
      </w:tr>
      <w:tr w:rsidRPr="00046FAE" w:rsidR="00D8651C" w:rsidTr="00C0685F" w14:paraId="7EEF5574" w14:textId="77777777">
        <w:trPr>
          <w:trHeight w:val="558"/>
        </w:trPr>
        <w:tc>
          <w:tcPr>
            <w:tcW w:w="9640" w:type="dxa"/>
            <w:shd w:val="clear" w:color="auto" w:fill="auto"/>
            <w:tcMar>
              <w:left w:w="108" w:type="dxa"/>
            </w:tcMar>
          </w:tcPr>
          <w:p w:rsidRPr="00C0685F" w:rsidR="002F3939" w:rsidP="00717075" w:rsidRDefault="00C90BFE" w14:paraId="031CD1CA" w14:textId="25B1B976">
            <w:pPr>
              <w:numPr>
                <w:ilvl w:val="0"/>
                <w:numId w:val="1"/>
              </w:numPr>
              <w:tabs>
                <w:tab w:val="left" w:pos="0"/>
                <w:tab w:val="left" w:pos="709"/>
                <w:tab w:val="left" w:pos="1276"/>
              </w:tabs>
              <w:spacing w:before="100" w:beforeAutospacing="1" w:after="100" w:afterAutospacing="1" w:line="240" w:lineRule="exact"/>
              <w:contextualSpacing/>
              <w:jc w:val="both"/>
              <w:rPr>
                <w:rFonts w:ascii="Arial" w:hAnsi="Arial"/>
                <w:sz w:val="22"/>
                <w:lang w:val="de-DE"/>
              </w:rPr>
            </w:pPr>
            <w:bookmarkStart w:name="_Ref486586451" w:id="11"/>
            <w:r>
              <w:rPr>
                <w:rFonts w:ascii="Arial" w:hAnsi="Arial" w:eastAsia="Arial" w:cs="Arial"/>
                <w:sz w:val="22"/>
                <w:szCs w:val="22"/>
                <w:bdr w:val="nil"/>
                <w:lang w:val="de-DE" w:eastAsia="en-US"/>
              </w:rPr>
              <w:t>Gleichheitsstelle</w:t>
            </w:r>
            <w:r w:rsidR="0078680C">
              <w:rPr>
                <w:rFonts w:ascii="Arial" w:hAnsi="Arial" w:eastAsia="Arial" w:cs="Arial"/>
                <w:sz w:val="22"/>
                <w:szCs w:val="22"/>
                <w:bdr w:val="nil"/>
                <w:lang w:val="de-DE" w:eastAsia="en-US"/>
              </w:rPr>
              <w:t xml:space="preserve">n sollte </w:t>
            </w:r>
            <w:bookmarkEnd w:id="11"/>
            <w:r w:rsidR="0078680C">
              <w:rPr>
                <w:rFonts w:ascii="Arial" w:hAnsi="Arial" w:eastAsia="Arial" w:cs="Arial"/>
                <w:sz w:val="22"/>
                <w:szCs w:val="22"/>
                <w:bdr w:val="nil"/>
                <w:lang w:val="de-DE" w:eastAsia="en-US"/>
              </w:rPr>
              <w:t xml:space="preserve">zugewiesen werden: </w:t>
            </w:r>
          </w:p>
          <w:p w:rsidRPr="00C0685F" w:rsidR="002F3939" w:rsidP="00717075" w:rsidRDefault="0078680C" w14:paraId="03A8F00E" w14:textId="3DBA592D">
            <w:pPr>
              <w:numPr>
                <w:ilvl w:val="0"/>
                <w:numId w:val="24"/>
              </w:numPr>
              <w:tabs>
                <w:tab w:val="clear" w:pos="340"/>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Die </w:t>
            </w:r>
            <w:r w:rsidR="00434F75">
              <w:rPr>
                <w:rFonts w:ascii="Arial" w:hAnsi="Arial" w:eastAsia="Arial" w:cs="Arial"/>
                <w:sz w:val="22"/>
                <w:szCs w:val="22"/>
                <w:bdr w:val="nil"/>
                <w:lang w:val="de-DE"/>
              </w:rPr>
              <w:t>Funktion</w:t>
            </w:r>
            <w:r w:rsidR="00003F59">
              <w:rPr>
                <w:rFonts w:ascii="Arial" w:hAnsi="Arial" w:eastAsia="Arial" w:cs="Arial"/>
                <w:sz w:val="22"/>
                <w:szCs w:val="22"/>
                <w:bdr w:val="nil"/>
                <w:lang w:val="de-DE"/>
              </w:rPr>
              <w:t>,</w:t>
            </w:r>
            <w:r>
              <w:rPr>
                <w:rFonts w:ascii="Arial" w:hAnsi="Arial" w:eastAsia="Arial" w:cs="Arial"/>
                <w:sz w:val="22"/>
                <w:szCs w:val="22"/>
                <w:bdr w:val="nil"/>
                <w:lang w:val="de-DE"/>
              </w:rPr>
              <w:t xml:space="preserve"> Gleich</w:t>
            </w:r>
            <w:r w:rsidR="00E3434C">
              <w:rPr>
                <w:rFonts w:ascii="Arial" w:hAnsi="Arial" w:eastAsia="Arial" w:cs="Arial"/>
                <w:sz w:val="22"/>
                <w:szCs w:val="22"/>
                <w:bdr w:val="nil"/>
                <w:lang w:val="de-DE"/>
              </w:rPr>
              <w:t xml:space="preserve">heit zu </w:t>
            </w:r>
            <w:r w:rsidR="00003F59">
              <w:rPr>
                <w:rFonts w:ascii="Arial" w:hAnsi="Arial" w:eastAsia="Arial" w:cs="Arial"/>
                <w:sz w:val="22"/>
                <w:szCs w:val="22"/>
                <w:bdr w:val="nil"/>
                <w:lang w:val="de-DE"/>
              </w:rPr>
              <w:t xml:space="preserve">fördern </w:t>
            </w:r>
            <w:r>
              <w:rPr>
                <w:rFonts w:ascii="Arial" w:hAnsi="Arial" w:eastAsia="Arial" w:cs="Arial"/>
                <w:sz w:val="22"/>
                <w:szCs w:val="22"/>
                <w:bdr w:val="nil"/>
                <w:lang w:val="de-DE"/>
              </w:rPr>
              <w:t>und Diskriminierung</w:t>
            </w:r>
            <w:r w:rsidR="00003F59">
              <w:rPr>
                <w:rFonts w:ascii="Arial" w:hAnsi="Arial" w:eastAsia="Arial" w:cs="Arial"/>
                <w:sz w:val="22"/>
                <w:szCs w:val="22"/>
                <w:bdr w:val="nil"/>
                <w:lang w:val="de-DE"/>
              </w:rPr>
              <w:t>en</w:t>
            </w:r>
            <w:r>
              <w:rPr>
                <w:rFonts w:ascii="Arial" w:hAnsi="Arial" w:eastAsia="Arial" w:cs="Arial"/>
                <w:sz w:val="22"/>
                <w:szCs w:val="22"/>
                <w:bdr w:val="nil"/>
                <w:lang w:val="de-DE"/>
              </w:rPr>
              <w:t xml:space="preserve"> </w:t>
            </w:r>
            <w:r w:rsidR="00003F59">
              <w:rPr>
                <w:rFonts w:ascii="Arial" w:hAnsi="Arial" w:eastAsia="Arial" w:cs="Arial"/>
                <w:sz w:val="22"/>
                <w:szCs w:val="22"/>
                <w:bdr w:val="nil"/>
                <w:lang w:val="de-DE"/>
              </w:rPr>
              <w:t xml:space="preserve">vorzubeugen </w:t>
            </w:r>
            <w:r>
              <w:rPr>
                <w:rFonts w:ascii="Arial" w:hAnsi="Arial" w:eastAsia="Arial" w:cs="Arial"/>
                <w:sz w:val="22"/>
                <w:szCs w:val="22"/>
                <w:bdr w:val="nil"/>
                <w:lang w:val="de-DE"/>
              </w:rPr>
              <w:t>(</w:t>
            </w:r>
            <w:r w:rsidR="00003F59">
              <w:rPr>
                <w:rFonts w:ascii="Arial" w:hAnsi="Arial" w:eastAsia="Arial" w:cs="Arial"/>
                <w:sz w:val="22"/>
                <w:szCs w:val="22"/>
                <w:bdr w:val="nil"/>
                <w:lang w:val="de-DE"/>
              </w:rPr>
              <w:t>Förderungs- und Präventions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wie im Einzelnen in </w:t>
            </w:r>
            <w:r w:rsidR="00786C47">
              <w:rPr>
                <w:rFonts w:ascii="Arial" w:hAnsi="Arial" w:eastAsia="Arial" w:cs="Arial"/>
                <w:sz w:val="22"/>
                <w:szCs w:val="22"/>
                <w:bdr w:val="nil"/>
                <w:lang w:val="de-DE"/>
              </w:rPr>
              <w:t>§ </w:t>
            </w:r>
            <w:r w:rsidRPr="006353CB">
              <w:rPr>
                <w:rFonts w:ascii="Arial" w:hAnsi="Arial" w:cs="Arial"/>
                <w:sz w:val="22"/>
                <w:szCs w:val="22"/>
              </w:rPr>
              <w:fldChar w:fldCharType="begin"/>
            </w:r>
            <w:r w:rsidRPr="00C0685F">
              <w:rPr>
                <w:rFonts w:ascii="Arial" w:hAnsi="Arial"/>
                <w:sz w:val="22"/>
                <w:lang w:val="de-DE"/>
              </w:rPr>
              <w:instrText xml:space="preserve"> REF _Ref474139265 \r \h  \* MERGEFORMAT </w:instrText>
            </w:r>
            <w:r w:rsidRPr="006353CB">
              <w:rPr>
                <w:rFonts w:ascii="Arial" w:hAnsi="Arial" w:cs="Arial"/>
                <w:sz w:val="22"/>
                <w:szCs w:val="22"/>
              </w:rPr>
            </w:r>
            <w:r w:rsidRPr="006353CB">
              <w:rPr>
                <w:rFonts w:ascii="Arial" w:hAnsi="Arial" w:cs="Arial"/>
                <w:sz w:val="22"/>
                <w:szCs w:val="22"/>
              </w:rPr>
              <w:fldChar w:fldCharType="separate"/>
            </w:r>
            <w:r w:rsidRPr="00120F0D" w:rsidR="00120F0D">
              <w:rPr>
                <w:rFonts w:ascii="Arial" w:hAnsi="Arial" w:eastAsia="Arial" w:cs="Arial"/>
                <w:sz w:val="22"/>
                <w:szCs w:val="22"/>
                <w:bdr w:val="nil"/>
                <w:lang w:val="de-DE"/>
              </w:rPr>
              <w:t>13</w:t>
            </w:r>
            <w:r w:rsidRPr="006353CB">
              <w:rPr>
                <w:rFonts w:ascii="Arial" w:hAnsi="Arial" w:cs="Arial"/>
                <w:sz w:val="22"/>
                <w:szCs w:val="22"/>
              </w:rPr>
              <w:fldChar w:fldCharType="end"/>
            </w:r>
            <w:r>
              <w:rPr>
                <w:rFonts w:ascii="Arial" w:hAnsi="Arial" w:eastAsia="Arial" w:cs="Arial"/>
                <w:sz w:val="22"/>
                <w:szCs w:val="22"/>
                <w:bdr w:val="nil"/>
                <w:lang w:val="de-DE"/>
              </w:rPr>
              <w:t xml:space="preserve"> ausgeführt;</w:t>
            </w:r>
          </w:p>
          <w:p w:rsidRPr="00C0685F" w:rsidR="002F3939" w:rsidP="00C0685F" w:rsidRDefault="0078680C" w14:paraId="030DE903" w14:textId="4CFD8E24">
            <w:pPr>
              <w:numPr>
                <w:ilvl w:val="0"/>
                <w:numId w:val="24"/>
              </w:numPr>
              <w:tabs>
                <w:tab w:val="clear" w:pos="340"/>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Die </w:t>
            </w:r>
            <w:r w:rsidR="00434F75">
              <w:rPr>
                <w:rFonts w:ascii="Arial" w:hAnsi="Arial" w:eastAsia="Arial" w:cs="Arial"/>
                <w:sz w:val="22"/>
                <w:bdr w:val="nil"/>
                <w:lang w:val="de-DE"/>
              </w:rPr>
              <w:t>Funktion</w:t>
            </w:r>
            <w:r w:rsidRPr="00434F75" w:rsidR="00003F59">
              <w:rPr>
                <w:rFonts w:ascii="Arial" w:hAnsi="Arial" w:eastAsia="Arial" w:cs="Arial"/>
                <w:sz w:val="22"/>
                <w:szCs w:val="22"/>
                <w:bdr w:val="nil"/>
                <w:lang w:val="de-DE"/>
              </w:rPr>
              <w:t>,</w:t>
            </w:r>
            <w:r w:rsidRPr="00434F75">
              <w:rPr>
                <w:rFonts w:ascii="Arial" w:hAnsi="Arial" w:eastAsia="Arial" w:cs="Arial"/>
                <w:sz w:val="22"/>
                <w:szCs w:val="22"/>
                <w:bdr w:val="nil"/>
                <w:lang w:val="de-DE"/>
              </w:rPr>
              <w:t xml:space="preserve"> Menschen</w:t>
            </w:r>
            <w:r w:rsidRPr="00434F75" w:rsidR="00003F59">
              <w:rPr>
                <w:rFonts w:ascii="Arial" w:hAnsi="Arial" w:eastAsia="Arial" w:cs="Arial"/>
                <w:sz w:val="22"/>
                <w:szCs w:val="22"/>
                <w:bdr w:val="nil"/>
                <w:lang w:val="de-DE"/>
              </w:rPr>
              <w:t xml:space="preserve"> zu unterstützen</w:t>
            </w:r>
            <w:r w:rsidRPr="00434F75">
              <w:rPr>
                <w:rFonts w:ascii="Arial" w:hAnsi="Arial" w:eastAsia="Arial" w:cs="Arial"/>
                <w:sz w:val="22"/>
                <w:szCs w:val="22"/>
                <w:bdr w:val="nil"/>
                <w:lang w:val="de-DE"/>
              </w:rPr>
              <w:t xml:space="preserve">, die Diskriminierung und Intoleranz ausgesetzt sind, und </w:t>
            </w:r>
            <w:r w:rsidRPr="00434F75" w:rsidR="00AE33E7">
              <w:rPr>
                <w:rFonts w:ascii="Arial" w:hAnsi="Arial" w:eastAsia="Arial" w:cs="Arial"/>
                <w:sz w:val="22"/>
                <w:szCs w:val="22"/>
                <w:bdr w:val="nil"/>
                <w:lang w:val="de-DE"/>
              </w:rPr>
              <w:t xml:space="preserve">in ihrem Namen </w:t>
            </w:r>
            <w:r w:rsidRPr="00434F75" w:rsidR="00003F59">
              <w:rPr>
                <w:rFonts w:ascii="Arial" w:hAnsi="Arial" w:eastAsia="Arial" w:cs="Arial"/>
                <w:sz w:val="22"/>
                <w:szCs w:val="22"/>
                <w:bdr w:val="nil"/>
                <w:lang w:val="de-DE"/>
              </w:rPr>
              <w:t xml:space="preserve">deren </w:t>
            </w:r>
            <w:r w:rsidRPr="00434F75">
              <w:rPr>
                <w:rFonts w:ascii="Arial" w:hAnsi="Arial" w:eastAsia="Arial" w:cs="Arial"/>
                <w:sz w:val="22"/>
                <w:szCs w:val="22"/>
                <w:bdr w:val="nil"/>
                <w:lang w:val="de-DE"/>
              </w:rPr>
              <w:t>Rechte</w:t>
            </w:r>
            <w:r w:rsidRPr="00434F75" w:rsidR="00003F59">
              <w:rPr>
                <w:rFonts w:ascii="Arial" w:hAnsi="Arial" w:eastAsia="Arial" w:cs="Arial"/>
                <w:sz w:val="22"/>
                <w:szCs w:val="22"/>
                <w:bdr w:val="nil"/>
                <w:lang w:val="de-DE"/>
              </w:rPr>
              <w:t xml:space="preserve"> durchzusetzen</w:t>
            </w:r>
            <w:r w:rsidRPr="00434F75">
              <w:rPr>
                <w:rFonts w:ascii="Arial" w:hAnsi="Arial" w:eastAsia="Arial" w:cs="Arial"/>
                <w:sz w:val="22"/>
                <w:szCs w:val="22"/>
                <w:bdr w:val="nil"/>
                <w:lang w:val="de-DE"/>
              </w:rPr>
              <w:t xml:space="preserve"> (Unterstützung</w:t>
            </w:r>
            <w:r w:rsidRPr="00434F75" w:rsidR="00003F59">
              <w:rPr>
                <w:rFonts w:ascii="Arial" w:hAnsi="Arial" w:eastAsia="Arial" w:cs="Arial"/>
                <w:sz w:val="22"/>
                <w:szCs w:val="22"/>
                <w:bdr w:val="nil"/>
                <w:lang w:val="de-DE"/>
              </w:rPr>
              <w:t>s-</w:t>
            </w:r>
            <w:r w:rsidRPr="00434F75">
              <w:rPr>
                <w:rFonts w:ascii="Arial" w:hAnsi="Arial" w:eastAsia="Arial" w:cs="Arial"/>
                <w:sz w:val="22"/>
                <w:szCs w:val="22"/>
                <w:bdr w:val="nil"/>
                <w:lang w:val="de-DE"/>
              </w:rPr>
              <w:t xml:space="preserve"> und </w:t>
            </w:r>
            <w:r w:rsidRPr="00434F75" w:rsidR="00003F59">
              <w:rPr>
                <w:rFonts w:ascii="Arial" w:hAnsi="Arial" w:eastAsia="Arial" w:cs="Arial"/>
                <w:sz w:val="22"/>
                <w:szCs w:val="22"/>
                <w:bdr w:val="nil"/>
                <w:lang w:val="de-DE"/>
              </w:rPr>
              <w:t>Rechtsd</w:t>
            </w:r>
            <w:r w:rsidRPr="00434F75">
              <w:rPr>
                <w:rFonts w:ascii="Arial" w:hAnsi="Arial" w:eastAsia="Arial" w:cs="Arial"/>
                <w:sz w:val="22"/>
                <w:szCs w:val="22"/>
                <w:bdr w:val="nil"/>
                <w:lang w:val="de-DE"/>
              </w:rPr>
              <w:t>urchsetzung</w:t>
            </w:r>
            <w:r w:rsidRPr="00434F75" w:rsidR="00003F59">
              <w:rPr>
                <w:rFonts w:ascii="Arial" w:hAnsi="Arial" w:eastAsia="Arial" w:cs="Arial"/>
                <w:sz w:val="22"/>
                <w:szCs w:val="22"/>
                <w:bdr w:val="nil"/>
                <w:lang w:val="de-DE"/>
              </w:rPr>
              <w:t>s</w:t>
            </w:r>
            <w:r w:rsidR="00434F75">
              <w:rPr>
                <w:rFonts w:ascii="Arial" w:hAnsi="Arial" w:eastAsia="Arial" w:cs="Arial"/>
                <w:sz w:val="22"/>
                <w:szCs w:val="22"/>
                <w:bdr w:val="nil"/>
                <w:lang w:val="de-DE"/>
              </w:rPr>
              <w:t>funktion</w:t>
            </w:r>
            <w:r w:rsidRPr="00434F75">
              <w:rPr>
                <w:rFonts w:ascii="Arial" w:hAnsi="Arial" w:eastAsia="Arial" w:cs="Arial"/>
                <w:sz w:val="22"/>
                <w:szCs w:val="22"/>
                <w:bdr w:val="nil"/>
                <w:lang w:val="de-DE"/>
              </w:rPr>
              <w:t xml:space="preserve">), wie im Einzelnen in </w:t>
            </w:r>
            <w:r w:rsidR="00786C47">
              <w:rPr>
                <w:rFonts w:ascii="Arial" w:hAnsi="Arial" w:eastAsia="Arial" w:cs="Arial"/>
                <w:sz w:val="22"/>
                <w:szCs w:val="22"/>
                <w:bdr w:val="nil"/>
                <w:lang w:val="de-DE"/>
              </w:rPr>
              <w:t>§ </w:t>
            </w:r>
            <w:r w:rsidRPr="00781974">
              <w:rPr>
                <w:rFonts w:ascii="Arial" w:hAnsi="Arial" w:cs="Arial"/>
                <w:sz w:val="22"/>
                <w:szCs w:val="22"/>
              </w:rPr>
              <w:fldChar w:fldCharType="begin"/>
            </w:r>
            <w:r w:rsidRPr="00C0685F">
              <w:rPr>
                <w:rFonts w:ascii="Arial" w:hAnsi="Arial"/>
                <w:sz w:val="22"/>
                <w:lang w:val="de-DE"/>
              </w:rPr>
              <w:instrText xml:space="preserve"> REF _Ref483922940 \r \h  \* MERGEFORMAT </w:instrText>
            </w:r>
            <w:r w:rsidRPr="00781974">
              <w:rPr>
                <w:rFonts w:ascii="Arial" w:hAnsi="Arial" w:cs="Arial"/>
                <w:sz w:val="22"/>
                <w:szCs w:val="22"/>
              </w:rPr>
            </w:r>
            <w:r w:rsidRPr="00781974">
              <w:rPr>
                <w:rFonts w:ascii="Arial" w:hAnsi="Arial" w:cs="Arial"/>
                <w:sz w:val="22"/>
                <w:szCs w:val="22"/>
              </w:rPr>
              <w:fldChar w:fldCharType="separate"/>
            </w:r>
            <w:r w:rsidRPr="00120F0D" w:rsidR="00120F0D">
              <w:rPr>
                <w:rFonts w:ascii="Arial" w:hAnsi="Arial" w:eastAsia="Arial" w:cs="Arial"/>
                <w:sz w:val="22"/>
                <w:szCs w:val="22"/>
                <w:bdr w:val="nil"/>
                <w:lang w:val="de-DE"/>
              </w:rPr>
              <w:t>14</w:t>
            </w:r>
            <w:r w:rsidRPr="00781974">
              <w:rPr>
                <w:rFonts w:ascii="Arial" w:hAnsi="Arial" w:cs="Arial"/>
                <w:sz w:val="22"/>
                <w:szCs w:val="22"/>
              </w:rPr>
              <w:fldChar w:fldCharType="end"/>
            </w:r>
            <w:r w:rsidRPr="00434F75">
              <w:rPr>
                <w:rFonts w:ascii="Arial" w:hAnsi="Arial" w:eastAsia="Arial" w:cs="Arial"/>
                <w:sz w:val="22"/>
                <w:szCs w:val="22"/>
                <w:bdr w:val="nil"/>
                <w:lang w:val="de-DE"/>
              </w:rPr>
              <w:t xml:space="preserve"> ausgeführt;</w:t>
            </w:r>
          </w:p>
          <w:p w:rsidRPr="00C0685F" w:rsidR="002F3939" w:rsidP="00717075" w:rsidRDefault="0078680C" w14:paraId="47B0CABB" w14:textId="2D0237FE">
            <w:pPr>
              <w:tabs>
                <w:tab w:val="left" w:pos="0"/>
                <w:tab w:val="left" w:pos="3828"/>
              </w:tabs>
              <w:spacing w:before="100" w:beforeAutospacing="1" w:after="100" w:afterAutospacing="1" w:line="240" w:lineRule="exact"/>
              <w:ind w:left="318"/>
              <w:jc w:val="both"/>
              <w:rPr>
                <w:rFonts w:ascii="Arial" w:hAnsi="Arial"/>
                <w:sz w:val="22"/>
                <w:lang w:val="de-DE"/>
              </w:rPr>
            </w:pPr>
            <w:r>
              <w:rPr>
                <w:rFonts w:ascii="Arial" w:hAnsi="Arial" w:eastAsia="Arial" w:cs="Arial"/>
                <w:sz w:val="22"/>
                <w:szCs w:val="22"/>
                <w:bdr w:val="nil"/>
                <w:lang w:val="de-DE"/>
              </w:rPr>
              <w:t xml:space="preserve">und man kann ihnen auch zuweisen: </w:t>
            </w:r>
          </w:p>
          <w:p w:rsidRPr="00C0685F" w:rsidR="002F3939" w:rsidP="00717075" w:rsidRDefault="0078680C" w14:paraId="645E50C9" w14:textId="3F283370">
            <w:pPr>
              <w:numPr>
                <w:ilvl w:val="0"/>
                <w:numId w:val="24"/>
              </w:numPr>
              <w:tabs>
                <w:tab w:val="clear" w:pos="340"/>
                <w:tab w:val="left" w:pos="0"/>
                <w:tab w:val="num" w:pos="709"/>
                <w:tab w:val="left" w:pos="3828"/>
              </w:tabs>
              <w:spacing w:before="100" w:beforeAutospacing="1" w:after="100" w:afterAutospacing="1" w:line="240" w:lineRule="exact"/>
              <w:ind w:left="709"/>
              <w:jc w:val="both"/>
              <w:rPr>
                <w:rFonts w:ascii="Arial" w:hAnsi="Arial"/>
                <w:sz w:val="22"/>
                <w:lang w:val="de-DE"/>
              </w:rPr>
            </w:pPr>
            <w:bookmarkStart w:name="_Ref486586476" w:id="12"/>
            <w:r>
              <w:rPr>
                <w:rFonts w:ascii="Arial" w:hAnsi="Arial" w:eastAsia="Arial" w:cs="Arial"/>
                <w:sz w:val="22"/>
                <w:szCs w:val="22"/>
                <w:bdr w:val="nil"/>
                <w:lang w:val="de-DE"/>
              </w:rPr>
              <w:t xml:space="preserve">Die </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über Beschwerden zu entscheiden (Entscheidungs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wie im Einzelnen in </w:t>
            </w:r>
            <w:r w:rsidR="00786C47">
              <w:rPr>
                <w:rFonts w:ascii="Arial" w:hAnsi="Arial" w:eastAsia="Arial" w:cs="Arial"/>
                <w:sz w:val="22"/>
                <w:szCs w:val="22"/>
                <w:bdr w:val="nil"/>
                <w:lang w:val="de-DE"/>
              </w:rPr>
              <w:t>§ </w:t>
            </w:r>
            <w:r w:rsidRPr="006353CB">
              <w:rPr>
                <w:rFonts w:ascii="Arial" w:hAnsi="Arial" w:cs="Arial"/>
                <w:sz w:val="22"/>
                <w:szCs w:val="22"/>
              </w:rPr>
              <w:fldChar w:fldCharType="begin"/>
            </w:r>
            <w:r w:rsidRPr="00C0685F">
              <w:rPr>
                <w:rFonts w:ascii="Arial" w:hAnsi="Arial"/>
                <w:sz w:val="22"/>
                <w:lang w:val="de-DE"/>
              </w:rPr>
              <w:instrText xml:space="preserve"> REF _Ref474315831 \r \h  \* MERGEFORMAT </w:instrText>
            </w:r>
            <w:r w:rsidRPr="006353CB">
              <w:rPr>
                <w:rFonts w:ascii="Arial" w:hAnsi="Arial" w:cs="Arial"/>
                <w:sz w:val="22"/>
                <w:szCs w:val="22"/>
              </w:rPr>
            </w:r>
            <w:r w:rsidRPr="006353CB">
              <w:rPr>
                <w:rFonts w:ascii="Arial" w:hAnsi="Arial" w:cs="Arial"/>
                <w:sz w:val="22"/>
                <w:szCs w:val="22"/>
              </w:rPr>
              <w:fldChar w:fldCharType="separate"/>
            </w:r>
            <w:r w:rsidRPr="00120F0D" w:rsidR="00120F0D">
              <w:rPr>
                <w:rFonts w:ascii="Arial" w:hAnsi="Arial" w:eastAsia="Arial" w:cs="Arial"/>
                <w:sz w:val="22"/>
                <w:szCs w:val="22"/>
                <w:bdr w:val="nil"/>
                <w:lang w:val="de-DE"/>
              </w:rPr>
              <w:t>17</w:t>
            </w:r>
            <w:r w:rsidRPr="006353CB">
              <w:rPr>
                <w:rFonts w:ascii="Arial" w:hAnsi="Arial" w:cs="Arial"/>
                <w:sz w:val="22"/>
                <w:szCs w:val="22"/>
              </w:rPr>
              <w:fldChar w:fldCharType="end"/>
            </w:r>
            <w:r>
              <w:rPr>
                <w:rFonts w:ascii="Arial" w:hAnsi="Arial" w:eastAsia="Arial" w:cs="Arial"/>
                <w:sz w:val="22"/>
                <w:szCs w:val="22"/>
                <w:bdr w:val="nil"/>
                <w:lang w:val="de-DE"/>
              </w:rPr>
              <w:t xml:space="preserve"> ausgeführt.</w:t>
            </w:r>
            <w:bookmarkEnd w:id="12"/>
          </w:p>
          <w:p w:rsidRPr="00C0685F" w:rsidR="002F3939" w:rsidP="00717075" w:rsidRDefault="0078680C" w14:paraId="114E2BB4" w14:textId="5764A1EF">
            <w:pPr>
              <w:tabs>
                <w:tab w:val="left" w:pos="0"/>
                <w:tab w:val="left" w:pos="709"/>
                <w:tab w:val="left" w:pos="1276"/>
              </w:tabs>
              <w:spacing w:before="100" w:beforeAutospacing="1" w:after="100" w:afterAutospacing="1" w:line="240" w:lineRule="exact"/>
              <w:ind w:left="357"/>
              <w:contextualSpacing/>
              <w:jc w:val="both"/>
              <w:rPr>
                <w:lang w:val="de-DE"/>
              </w:rPr>
            </w:pPr>
            <w:r>
              <w:rPr>
                <w:rFonts w:ascii="Arial" w:hAnsi="Arial" w:eastAsia="Arial" w:cs="Arial"/>
                <w:sz w:val="22"/>
                <w:szCs w:val="22"/>
                <w:bdr w:val="nil"/>
                <w:lang w:val="de-DE"/>
              </w:rPr>
              <w:t>Die Entscheidungs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kann </w:t>
            </w:r>
            <w:r w:rsidR="00AE33E7">
              <w:rPr>
                <w:rFonts w:ascii="Arial" w:hAnsi="Arial" w:eastAsia="Arial" w:cs="Arial"/>
                <w:sz w:val="22"/>
                <w:szCs w:val="22"/>
                <w:bdr w:val="nil"/>
                <w:lang w:val="de-DE"/>
              </w:rPr>
              <w:t>zwischen</w:t>
            </w:r>
            <w:r>
              <w:rPr>
                <w:rFonts w:ascii="Arial" w:hAnsi="Arial" w:eastAsia="Arial" w:cs="Arial"/>
                <w:sz w:val="22"/>
                <w:szCs w:val="22"/>
                <w:bdr w:val="nil"/>
                <w:lang w:val="de-DE"/>
              </w:rPr>
              <w:t xml:space="preserve"> den </w:t>
            </w:r>
            <w:r w:rsidR="00C90BFE">
              <w:rPr>
                <w:rFonts w:ascii="Arial" w:hAnsi="Arial" w:eastAsia="Arial" w:cs="Arial"/>
                <w:sz w:val="22"/>
                <w:szCs w:val="22"/>
                <w:bdr w:val="nil"/>
                <w:lang w:val="de-DE"/>
              </w:rPr>
              <w:t>Gleichheitsstelle</w:t>
            </w:r>
            <w:r>
              <w:rPr>
                <w:rFonts w:ascii="Arial" w:hAnsi="Arial" w:eastAsia="Arial" w:cs="Arial"/>
                <w:sz w:val="22"/>
                <w:szCs w:val="22"/>
                <w:bdr w:val="nil"/>
                <w:lang w:val="de-DE"/>
              </w:rPr>
              <w:t>n und der Justiz aufgeteilt oder vollständig der Justiz übertragen werden.</w:t>
            </w:r>
            <w:r>
              <w:rPr>
                <w:bdr w:val="nil"/>
                <w:lang w:val="de-DE"/>
              </w:rPr>
              <w:t xml:space="preserve"> </w:t>
            </w:r>
          </w:p>
        </w:tc>
      </w:tr>
      <w:tr w:rsidRPr="00046FAE" w:rsidR="00D8651C" w:rsidTr="00C0685F" w14:paraId="3E90F655" w14:textId="77777777">
        <w:trPr>
          <w:trHeight w:val="284"/>
        </w:trPr>
        <w:tc>
          <w:tcPr>
            <w:tcW w:w="9640" w:type="dxa"/>
            <w:shd w:val="clear" w:color="auto" w:fill="auto"/>
            <w:tcMar>
              <w:left w:w="108" w:type="dxa"/>
            </w:tcMar>
          </w:tcPr>
          <w:p w:rsidRPr="006C29B1" w:rsidR="002F3939" w:rsidP="00717075" w:rsidRDefault="0078680C" w14:paraId="3EAE44C4" w14:textId="4F213A9B">
            <w:pPr>
              <w:numPr>
                <w:ilvl w:val="0"/>
                <w:numId w:val="1"/>
              </w:numPr>
              <w:tabs>
                <w:tab w:val="left" w:pos="0"/>
                <w:tab w:val="left" w:pos="709"/>
                <w:tab w:val="left" w:pos="1276"/>
              </w:tabs>
              <w:spacing w:before="240" w:after="100" w:afterAutospacing="1" w:line="240" w:lineRule="exact"/>
              <w:ind w:left="357" w:hanging="357"/>
              <w:jc w:val="both"/>
              <w:rPr>
                <w:rFonts w:ascii="Arial" w:hAnsi="Arial" w:cs="Arial"/>
                <w:sz w:val="22"/>
                <w:szCs w:val="22"/>
                <w:lang w:val="de-DE"/>
              </w:rPr>
            </w:pPr>
            <w:r>
              <w:rPr>
                <w:rFonts w:ascii="Arial" w:hAnsi="Arial" w:eastAsia="Arial" w:cs="Arial"/>
                <w:sz w:val="22"/>
                <w:szCs w:val="22"/>
                <w:bdr w:val="nil"/>
                <w:lang w:val="de-DE"/>
              </w:rPr>
              <w:t>Wenn die Unterstützung</w:t>
            </w:r>
            <w:r w:rsidR="00AE33E7">
              <w:rPr>
                <w:rFonts w:ascii="Arial" w:hAnsi="Arial" w:eastAsia="Arial" w:cs="Arial"/>
                <w:sz w:val="22"/>
                <w:szCs w:val="22"/>
                <w:bdr w:val="nil"/>
                <w:lang w:val="de-DE"/>
              </w:rPr>
              <w:t>s-</w:t>
            </w:r>
            <w:r>
              <w:rPr>
                <w:rFonts w:ascii="Arial" w:hAnsi="Arial" w:eastAsia="Arial" w:cs="Arial"/>
                <w:sz w:val="22"/>
                <w:szCs w:val="22"/>
                <w:bdr w:val="nil"/>
                <w:lang w:val="de-DE"/>
              </w:rPr>
              <w:t xml:space="preserve"> und </w:t>
            </w:r>
            <w:r w:rsidR="00AE33E7">
              <w:rPr>
                <w:rFonts w:ascii="Arial" w:hAnsi="Arial" w:eastAsia="Arial" w:cs="Arial"/>
                <w:sz w:val="22"/>
                <w:szCs w:val="22"/>
                <w:bdr w:val="nil"/>
                <w:lang w:val="de-DE"/>
              </w:rPr>
              <w:t>Rechtsd</w:t>
            </w:r>
            <w:r>
              <w:rPr>
                <w:rFonts w:ascii="Arial" w:hAnsi="Arial" w:eastAsia="Arial" w:cs="Arial"/>
                <w:sz w:val="22"/>
                <w:szCs w:val="22"/>
                <w:bdr w:val="nil"/>
                <w:lang w:val="de-DE"/>
              </w:rPr>
              <w:t>urchsetzung</w:t>
            </w:r>
            <w:r w:rsidR="00AE33E7">
              <w:rPr>
                <w:rFonts w:ascii="Arial" w:hAnsi="Arial" w:eastAsia="Arial" w:cs="Arial"/>
                <w:sz w:val="22"/>
                <w:szCs w:val="22"/>
                <w:bdr w:val="nil"/>
                <w:lang w:val="de-DE"/>
              </w:rPr>
              <w:t>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sowie die Entscheidungs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in eine</w:t>
            </w:r>
            <w:r w:rsidR="00AE33E7">
              <w:rPr>
                <w:rFonts w:ascii="Arial" w:hAnsi="Arial" w:eastAsia="Arial" w:cs="Arial"/>
                <w:sz w:val="22"/>
                <w:szCs w:val="22"/>
                <w:bdr w:val="nil"/>
                <w:lang w:val="de-DE"/>
              </w:rPr>
              <w:t>r Stelle</w:t>
            </w:r>
            <w:r>
              <w:rPr>
                <w:rFonts w:ascii="Arial" w:hAnsi="Arial" w:eastAsia="Arial" w:cs="Arial"/>
                <w:sz w:val="22"/>
                <w:szCs w:val="22"/>
                <w:bdr w:val="nil"/>
                <w:lang w:val="de-DE"/>
              </w:rPr>
              <w:t xml:space="preserve"> vereint sind, muss sichergestellt werden, dass jede </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von einer separaten Einheit oder von unterschiedlichen Mitarbeitern </w:t>
            </w:r>
            <w:r w:rsidR="00AE33E7">
              <w:rPr>
                <w:rFonts w:ascii="Arial" w:hAnsi="Arial" w:eastAsia="Arial" w:cs="Arial"/>
                <w:sz w:val="22"/>
                <w:szCs w:val="22"/>
                <w:bdr w:val="nil"/>
                <w:lang w:val="de-DE"/>
              </w:rPr>
              <w:t xml:space="preserve">wahrgenommen </w:t>
            </w:r>
            <w:r>
              <w:rPr>
                <w:rFonts w:ascii="Arial" w:hAnsi="Arial" w:eastAsia="Arial" w:cs="Arial"/>
                <w:sz w:val="22"/>
                <w:szCs w:val="22"/>
                <w:bdr w:val="nil"/>
                <w:lang w:val="de-DE"/>
              </w:rPr>
              <w:t xml:space="preserve">wird. </w:t>
            </w:r>
            <w:r w:rsidR="00AE33E7">
              <w:rPr>
                <w:rFonts w:ascii="Arial" w:hAnsi="Arial" w:eastAsia="Arial" w:cs="Arial"/>
                <w:sz w:val="22"/>
                <w:szCs w:val="22"/>
                <w:bdr w:val="nil"/>
                <w:lang w:val="de-DE"/>
              </w:rPr>
              <w:t>A</w:t>
            </w:r>
            <w:r>
              <w:rPr>
                <w:rFonts w:ascii="Arial" w:hAnsi="Arial" w:eastAsia="Arial" w:cs="Arial"/>
                <w:sz w:val="22"/>
                <w:szCs w:val="22"/>
                <w:bdr w:val="nil"/>
                <w:lang w:val="de-DE"/>
              </w:rPr>
              <w:t xml:space="preserve">llen </w:t>
            </w:r>
            <w:r w:rsidR="00434F75">
              <w:rPr>
                <w:rFonts w:ascii="Arial" w:hAnsi="Arial" w:eastAsia="Arial" w:cs="Arial"/>
                <w:sz w:val="22"/>
                <w:szCs w:val="22"/>
                <w:bdr w:val="nil"/>
                <w:lang w:val="de-DE"/>
              </w:rPr>
              <w:t>Funktions</w:t>
            </w:r>
            <w:r>
              <w:rPr>
                <w:rFonts w:ascii="Arial" w:hAnsi="Arial" w:eastAsia="Arial" w:cs="Arial"/>
                <w:sz w:val="22"/>
                <w:szCs w:val="22"/>
                <w:bdr w:val="nil"/>
                <w:lang w:val="de-DE"/>
              </w:rPr>
              <w:t xml:space="preserve">bereichen </w:t>
            </w:r>
            <w:r w:rsidR="00AE33E7">
              <w:rPr>
                <w:rFonts w:ascii="Arial" w:hAnsi="Arial" w:eastAsia="Arial" w:cs="Arial"/>
                <w:sz w:val="22"/>
                <w:szCs w:val="22"/>
                <w:bdr w:val="nil"/>
                <w:lang w:val="de-DE"/>
              </w:rPr>
              <w:t xml:space="preserve">sollten </w:t>
            </w:r>
            <w:r>
              <w:rPr>
                <w:rFonts w:ascii="Arial" w:hAnsi="Arial" w:eastAsia="Arial" w:cs="Arial"/>
                <w:sz w:val="22"/>
                <w:szCs w:val="22"/>
                <w:bdr w:val="nil"/>
                <w:lang w:val="de-DE"/>
              </w:rPr>
              <w:t xml:space="preserve">angemessene personelle und finanzielle Mittel zugewiesen werden, und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AE33E7">
              <w:rPr>
                <w:rFonts w:ascii="Arial" w:hAnsi="Arial" w:eastAsia="Arial" w:cs="Arial"/>
                <w:sz w:val="22"/>
                <w:szCs w:val="22"/>
                <w:bdr w:val="nil"/>
                <w:lang w:val="de-DE"/>
              </w:rPr>
              <w:t xml:space="preserve">sollte </w:t>
            </w:r>
            <w:r>
              <w:rPr>
                <w:rFonts w:ascii="Arial" w:hAnsi="Arial" w:eastAsia="Arial" w:cs="Arial"/>
                <w:sz w:val="22"/>
                <w:szCs w:val="22"/>
                <w:bdr w:val="nil"/>
                <w:lang w:val="de-DE"/>
              </w:rPr>
              <w:t>gewährleisten, dass Menschen, die Diskriminierung oder Intoleranz ausgesetzt sind, umfassende rechtliche und pers</w:t>
            </w:r>
            <w:r w:rsidR="00AE33E7">
              <w:rPr>
                <w:rFonts w:ascii="Arial" w:hAnsi="Arial" w:eastAsia="Arial" w:cs="Arial"/>
                <w:sz w:val="22"/>
                <w:szCs w:val="22"/>
                <w:bdr w:val="nil"/>
                <w:lang w:val="de-DE"/>
              </w:rPr>
              <w:t xml:space="preserve">önliche Unterstützung </w:t>
            </w:r>
            <w:r>
              <w:rPr>
                <w:rFonts w:ascii="Arial" w:hAnsi="Arial" w:eastAsia="Arial" w:cs="Arial"/>
                <w:sz w:val="22"/>
                <w:szCs w:val="22"/>
                <w:bdr w:val="nil"/>
                <w:lang w:val="de-DE"/>
              </w:rPr>
              <w:t xml:space="preserve">erhalten. </w:t>
            </w:r>
          </w:p>
        </w:tc>
      </w:tr>
      <w:tr w:rsidRPr="00046FAE" w:rsidR="00D8651C" w:rsidTr="00C0685F" w14:paraId="70F013F3" w14:textId="77777777">
        <w:tc>
          <w:tcPr>
            <w:tcW w:w="9640" w:type="dxa"/>
          </w:tcPr>
          <w:p w:rsidRPr="006C29B1" w:rsidR="002F3939" w:rsidP="00717075" w:rsidRDefault="00781974" w14:paraId="5A4700A1" w14:textId="6C1721F1">
            <w:pPr>
              <w:numPr>
                <w:ilvl w:val="0"/>
                <w:numId w:val="1"/>
              </w:numPr>
              <w:tabs>
                <w:tab w:val="left" w:pos="0"/>
                <w:tab w:val="left" w:pos="709"/>
                <w:tab w:val="left" w:pos="1276"/>
              </w:tabs>
              <w:spacing w:before="100" w:beforeAutospacing="1" w:after="100" w:afterAutospacing="1" w:line="240" w:lineRule="exact"/>
              <w:jc w:val="both"/>
              <w:rPr>
                <w:rFonts w:ascii="Arial" w:hAnsi="Arial" w:cs="Arial"/>
                <w:sz w:val="22"/>
                <w:szCs w:val="22"/>
                <w:lang w:val="de-DE"/>
              </w:rPr>
            </w:pPr>
            <w:bookmarkStart w:name="_Ref484017007" w:id="13"/>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sollten das Recht haben, darüber zu entscheiden, auf welche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en, Ziel</w:t>
            </w:r>
            <w:r w:rsidR="00EA5BA5">
              <w:rPr>
                <w:rFonts w:ascii="Arial" w:hAnsi="Arial" w:eastAsia="Arial" w:cs="Arial"/>
                <w:sz w:val="22"/>
                <w:szCs w:val="22"/>
                <w:bdr w:val="nil"/>
                <w:lang w:val="de-DE"/>
              </w:rPr>
              <w:t>e</w:t>
            </w:r>
            <w:r w:rsidR="0078680C">
              <w:rPr>
                <w:rFonts w:ascii="Arial" w:hAnsi="Arial" w:eastAsia="Arial" w:cs="Arial"/>
                <w:sz w:val="22"/>
                <w:szCs w:val="22"/>
                <w:bdr w:val="nil"/>
                <w:lang w:val="de-DE"/>
              </w:rPr>
              <w:t xml:space="preserve"> und Tätigkeiten sie sich </w:t>
            </w:r>
            <w:r w:rsidR="00EA5BA5">
              <w:rPr>
                <w:rFonts w:ascii="Arial" w:hAnsi="Arial" w:eastAsia="Arial" w:cs="Arial"/>
                <w:sz w:val="22"/>
                <w:szCs w:val="22"/>
                <w:bdr w:val="nil"/>
                <w:lang w:val="de-DE"/>
              </w:rPr>
              <w:t>jeweils</w:t>
            </w:r>
            <w:r w:rsidR="0078680C">
              <w:rPr>
                <w:rFonts w:ascii="Arial" w:hAnsi="Arial" w:eastAsia="Arial" w:cs="Arial"/>
                <w:sz w:val="22"/>
                <w:szCs w:val="22"/>
                <w:bdr w:val="nil"/>
                <w:lang w:val="de-DE"/>
              </w:rPr>
              <w:t xml:space="preserve"> konzentrieren möchten und welche Kombination derselben sie verwenden.</w:t>
            </w:r>
            <w:bookmarkEnd w:id="13"/>
          </w:p>
        </w:tc>
      </w:tr>
      <w:tr w:rsidRPr="00C0685F" w:rsidR="00D8651C" w:rsidTr="00C0685F" w14:paraId="68CD936E" w14:textId="77777777">
        <w:trPr>
          <w:trHeight w:val="397"/>
        </w:trPr>
        <w:tc>
          <w:tcPr>
            <w:tcW w:w="9640" w:type="dxa"/>
            <w:shd w:val="clear" w:color="auto" w:fill="auto"/>
            <w:tcMar>
              <w:left w:w="108" w:type="dxa"/>
            </w:tcMar>
          </w:tcPr>
          <w:p w:rsidRPr="00C0685F" w:rsidR="002F3939" w:rsidP="00717075" w:rsidRDefault="000B04D4" w14:paraId="453A4DF5" w14:textId="2BB2B6B6">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de-DE"/>
              </w:rPr>
            </w:pPr>
            <w:r>
              <w:rPr>
                <w:rFonts w:ascii="Arial" w:hAnsi="Arial" w:eastAsia="Arial" w:cs="Arial"/>
                <w:b/>
                <w:bCs/>
                <w:sz w:val="22"/>
                <w:szCs w:val="22"/>
                <w:bdr w:val="nil"/>
                <w:lang w:val="de-DE"/>
              </w:rPr>
              <w:t>Kompetenzen</w:t>
            </w:r>
            <w:r w:rsidR="00EA5BA5">
              <w:rPr>
                <w:rFonts w:ascii="Arial" w:hAnsi="Arial" w:eastAsia="Arial" w:cs="Arial"/>
                <w:b/>
                <w:bCs/>
                <w:sz w:val="22"/>
                <w:szCs w:val="22"/>
                <w:bdr w:val="nil"/>
                <w:lang w:val="de-DE"/>
              </w:rPr>
              <w:t xml:space="preserve"> im Bereich der </w:t>
            </w:r>
            <w:r w:rsidR="0078680C">
              <w:rPr>
                <w:rFonts w:ascii="Arial" w:hAnsi="Arial" w:eastAsia="Arial" w:cs="Arial"/>
                <w:b/>
                <w:bCs/>
                <w:sz w:val="22"/>
                <w:szCs w:val="22"/>
                <w:bdr w:val="nil"/>
                <w:lang w:val="de-DE"/>
              </w:rPr>
              <w:t xml:space="preserve">Förderung und Prävention </w:t>
            </w:r>
          </w:p>
        </w:tc>
      </w:tr>
      <w:tr w:rsidRPr="00C0685F" w:rsidR="00D8651C" w:rsidTr="00C0685F" w14:paraId="1157317A" w14:textId="77777777">
        <w:trPr>
          <w:trHeight w:val="505"/>
        </w:trPr>
        <w:tc>
          <w:tcPr>
            <w:tcW w:w="9640" w:type="dxa"/>
            <w:shd w:val="clear" w:color="auto" w:fill="auto"/>
            <w:tcMar>
              <w:left w:w="108" w:type="dxa"/>
            </w:tcMar>
          </w:tcPr>
          <w:p w:rsidRPr="00C0685F" w:rsidR="002F3939" w:rsidP="00717075" w:rsidRDefault="0078680C" w14:paraId="319DE497" w14:textId="1ACB819C">
            <w:pPr>
              <w:numPr>
                <w:ilvl w:val="0"/>
                <w:numId w:val="1"/>
              </w:numPr>
              <w:tabs>
                <w:tab w:val="left" w:pos="0"/>
                <w:tab w:val="left" w:pos="709"/>
                <w:tab w:val="left" w:pos="1276"/>
              </w:tabs>
              <w:spacing w:before="100" w:beforeAutospacing="1" w:after="100" w:afterAutospacing="1" w:line="240" w:lineRule="exact"/>
              <w:jc w:val="both"/>
              <w:rPr>
                <w:rFonts w:ascii="Arial" w:hAnsi="Arial"/>
                <w:sz w:val="22"/>
                <w:lang w:val="de-DE"/>
              </w:rPr>
            </w:pPr>
            <w:bookmarkStart w:name="_Ref474139265" w:id="14"/>
            <w:r>
              <w:rPr>
                <w:rFonts w:ascii="Arial" w:hAnsi="Arial" w:eastAsia="Arial" w:cs="Arial"/>
                <w:sz w:val="22"/>
                <w:szCs w:val="22"/>
                <w:bdr w:val="nil"/>
                <w:lang w:val="de-DE"/>
              </w:rPr>
              <w:t>Die Förderung</w:t>
            </w:r>
            <w:r w:rsidR="00EA5BA5">
              <w:rPr>
                <w:rFonts w:ascii="Arial" w:hAnsi="Arial" w:eastAsia="Arial" w:cs="Arial"/>
                <w:sz w:val="22"/>
                <w:szCs w:val="22"/>
                <w:bdr w:val="nil"/>
                <w:lang w:val="de-DE"/>
              </w:rPr>
              <w:t>s-</w:t>
            </w:r>
            <w:r>
              <w:rPr>
                <w:rFonts w:ascii="Arial" w:hAnsi="Arial" w:eastAsia="Arial" w:cs="Arial"/>
                <w:sz w:val="22"/>
                <w:szCs w:val="22"/>
                <w:bdr w:val="nil"/>
                <w:lang w:val="de-DE"/>
              </w:rPr>
              <w:t xml:space="preserve"> und Prävention</w:t>
            </w:r>
            <w:r w:rsidR="00EA5BA5">
              <w:rPr>
                <w:rFonts w:ascii="Arial" w:hAnsi="Arial" w:eastAsia="Arial" w:cs="Arial"/>
                <w:sz w:val="22"/>
                <w:szCs w:val="22"/>
                <w:bdr w:val="nil"/>
                <w:lang w:val="de-DE"/>
              </w:rPr>
              <w:t>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 die </w:t>
            </w:r>
            <w:r w:rsidR="00434F75">
              <w:rPr>
                <w:rFonts w:ascii="Arial" w:hAnsi="Arial" w:eastAsia="Arial" w:cs="Arial"/>
                <w:sz w:val="22"/>
                <w:szCs w:val="22"/>
                <w:bdr w:val="nil"/>
                <w:lang w:val="de-DE"/>
              </w:rPr>
              <w:t>Kompetenzen</w:t>
            </w:r>
            <w:r w:rsidR="00EA5BA5">
              <w:rPr>
                <w:rFonts w:ascii="Arial" w:hAnsi="Arial" w:eastAsia="Arial" w:cs="Arial"/>
                <w:sz w:val="22"/>
                <w:szCs w:val="22"/>
                <w:bdr w:val="nil"/>
                <w:lang w:val="de-DE"/>
              </w:rPr>
              <w:t xml:space="preserve"> </w:t>
            </w:r>
            <w:r w:rsidR="002233F8">
              <w:rPr>
                <w:rFonts w:ascii="Arial" w:hAnsi="Arial" w:eastAsia="Arial" w:cs="Arial"/>
                <w:sz w:val="22"/>
                <w:szCs w:val="22"/>
                <w:bdr w:val="nil"/>
                <w:lang w:val="de-DE"/>
              </w:rPr>
              <w:t>einschließen</w:t>
            </w:r>
            <w:r>
              <w:rPr>
                <w:rFonts w:ascii="Arial" w:hAnsi="Arial" w:eastAsia="Arial" w:cs="Arial"/>
                <w:sz w:val="22"/>
                <w:szCs w:val="22"/>
                <w:bdr w:val="nil"/>
                <w:lang w:val="de-DE"/>
              </w:rPr>
              <w:t>:</w:t>
            </w:r>
            <w:bookmarkEnd w:id="14"/>
          </w:p>
        </w:tc>
      </w:tr>
      <w:tr w:rsidRPr="00C0685F" w:rsidR="00D8651C" w:rsidTr="00C0685F" w14:paraId="1A036F47" w14:textId="77777777">
        <w:tc>
          <w:tcPr>
            <w:tcW w:w="9640" w:type="dxa"/>
            <w:shd w:val="clear" w:color="auto" w:fill="auto"/>
            <w:tcMar>
              <w:left w:w="108" w:type="dxa"/>
            </w:tcMar>
          </w:tcPr>
          <w:p w:rsidRPr="00C0685F" w:rsidR="002F3939" w:rsidP="00717075" w:rsidRDefault="00EA5BA5" w14:paraId="5911C6C6" w14:textId="0C37FA4B">
            <w:pPr>
              <w:numPr>
                <w:ilvl w:val="0"/>
                <w:numId w:val="28"/>
              </w:numPr>
              <w:tabs>
                <w:tab w:val="clear" w:pos="340"/>
                <w:tab w:val="left" w:pos="0"/>
                <w:tab w:val="num" w:pos="1169"/>
                <w:tab w:val="left" w:pos="3828"/>
              </w:tabs>
              <w:spacing w:before="100" w:beforeAutospacing="1" w:after="100" w:afterAutospacing="1" w:line="240" w:lineRule="exact"/>
              <w:ind w:left="743"/>
              <w:jc w:val="both"/>
              <w:rPr>
                <w:rFonts w:ascii="Arial" w:hAnsi="Arial"/>
                <w:sz w:val="22"/>
                <w:lang w:val="de-DE"/>
              </w:rPr>
            </w:pPr>
            <w:bookmarkStart w:name="_Ref486586693" w:id="15"/>
            <w:r>
              <w:rPr>
                <w:rFonts w:ascii="Arial" w:hAnsi="Arial" w:eastAsia="Arial" w:cs="Arial"/>
                <w:sz w:val="22"/>
                <w:szCs w:val="22"/>
                <w:bdr w:val="nil"/>
                <w:lang w:val="de-DE" w:eastAsia="en-US"/>
              </w:rPr>
              <w:t xml:space="preserve">Die </w:t>
            </w:r>
            <w:r w:rsidR="00E3434C">
              <w:rPr>
                <w:rFonts w:ascii="Arial" w:hAnsi="Arial" w:eastAsia="Arial" w:cs="Arial"/>
                <w:sz w:val="22"/>
                <w:szCs w:val="22"/>
                <w:bdr w:val="nil"/>
                <w:lang w:val="de-DE" w:eastAsia="en-US"/>
              </w:rPr>
              <w:t>Gleichheit</w:t>
            </w:r>
            <w:r w:rsidR="0078680C">
              <w:rPr>
                <w:rFonts w:ascii="Arial" w:hAnsi="Arial" w:eastAsia="Arial" w:cs="Arial"/>
                <w:sz w:val="22"/>
                <w:szCs w:val="22"/>
                <w:bdr w:val="nil"/>
                <w:lang w:val="de-DE" w:eastAsia="en-US"/>
              </w:rPr>
              <w:t xml:space="preserve"> zu fördern und zu erreichen, Diskriminierung und Intoleranz zu verhindern und zu eliminieren und Vielfalt und gute Beziehungen zwischen den verschiedenen Gruppen der Gesellschaft zu fördern.</w:t>
            </w:r>
            <w:bookmarkEnd w:id="15"/>
          </w:p>
        </w:tc>
      </w:tr>
      <w:tr w:rsidRPr="00C0685F" w:rsidR="00D8651C" w:rsidTr="00C0685F" w14:paraId="2F7D121C" w14:textId="77777777">
        <w:tc>
          <w:tcPr>
            <w:tcW w:w="9640" w:type="dxa"/>
            <w:shd w:val="clear" w:color="auto" w:fill="auto"/>
            <w:tcMar>
              <w:left w:w="108" w:type="dxa"/>
            </w:tcMar>
          </w:tcPr>
          <w:p w:rsidRPr="00C0685F" w:rsidR="002F3939" w:rsidP="00717075" w:rsidRDefault="0078680C" w14:paraId="10D0A600" w14:textId="7A3BED29">
            <w:pPr>
              <w:numPr>
                <w:ilvl w:val="0"/>
                <w:numId w:val="28"/>
              </w:numPr>
              <w:tabs>
                <w:tab w:val="clear" w:pos="340"/>
                <w:tab w:val="left" w:pos="0"/>
                <w:tab w:val="num" w:pos="709"/>
                <w:tab w:val="left" w:pos="3828"/>
              </w:tabs>
              <w:spacing w:before="100" w:beforeAutospacing="1" w:after="100" w:afterAutospacing="1" w:line="240" w:lineRule="exact"/>
              <w:ind w:left="709"/>
              <w:jc w:val="both"/>
              <w:rPr>
                <w:rFonts w:ascii="Arial" w:hAnsi="Arial"/>
                <w:sz w:val="22"/>
                <w:lang w:val="de-DE"/>
              </w:rPr>
            </w:pPr>
            <w:bookmarkStart w:name="_Ref474393317" w:id="16"/>
            <w:r>
              <w:rPr>
                <w:rFonts w:ascii="Arial" w:hAnsi="Arial" w:eastAsia="Arial" w:cs="Arial"/>
                <w:sz w:val="22"/>
                <w:szCs w:val="22"/>
                <w:bdr w:val="nil"/>
                <w:lang w:val="de-DE" w:eastAsia="en-US"/>
              </w:rPr>
              <w:t xml:space="preserve">Einen kontinuierlichen Dialog </w:t>
            </w:r>
            <w:r w:rsidR="00175652">
              <w:rPr>
                <w:rFonts w:ascii="Arial" w:hAnsi="Arial" w:eastAsia="Arial" w:cs="Arial"/>
                <w:sz w:val="22"/>
                <w:szCs w:val="22"/>
                <w:bdr w:val="nil"/>
                <w:lang w:val="de-DE" w:eastAsia="en-US"/>
              </w:rPr>
              <w:t xml:space="preserve">aufzubauen </w:t>
            </w:r>
            <w:r>
              <w:rPr>
                <w:rFonts w:ascii="Arial" w:hAnsi="Arial" w:eastAsia="Arial" w:cs="Arial"/>
                <w:sz w:val="22"/>
                <w:szCs w:val="22"/>
                <w:bdr w:val="nil"/>
                <w:lang w:val="de-DE" w:eastAsia="en-US"/>
              </w:rPr>
              <w:t xml:space="preserve">mit Gruppen, die Diskriminierung und Intoleranz </w:t>
            </w:r>
            <w:r w:rsidR="00175652">
              <w:rPr>
                <w:rFonts w:ascii="Arial" w:hAnsi="Arial" w:eastAsia="Arial" w:cs="Arial"/>
                <w:sz w:val="22"/>
                <w:szCs w:val="22"/>
                <w:bdr w:val="nil"/>
                <w:lang w:val="de-DE" w:eastAsia="en-US"/>
              </w:rPr>
              <w:t>ausgesetzt sind</w:t>
            </w:r>
            <w:r>
              <w:rPr>
                <w:rFonts w:ascii="Arial" w:hAnsi="Arial" w:eastAsia="Arial" w:cs="Arial"/>
                <w:sz w:val="22"/>
                <w:szCs w:val="22"/>
                <w:bdr w:val="nil"/>
                <w:lang w:val="de-DE" w:eastAsia="en-US"/>
              </w:rPr>
              <w:t xml:space="preserve">, sowie </w:t>
            </w:r>
            <w:r w:rsidR="00175652">
              <w:rPr>
                <w:rFonts w:ascii="Arial" w:hAnsi="Arial" w:eastAsia="Arial" w:cs="Arial"/>
                <w:sz w:val="22"/>
                <w:szCs w:val="22"/>
                <w:bdr w:val="nil"/>
                <w:lang w:val="de-DE" w:eastAsia="en-US"/>
              </w:rPr>
              <w:t>mit den O</w:t>
            </w:r>
            <w:r>
              <w:rPr>
                <w:rFonts w:ascii="Arial" w:hAnsi="Arial" w:eastAsia="Arial" w:cs="Arial"/>
                <w:sz w:val="22"/>
                <w:szCs w:val="22"/>
                <w:bdr w:val="nil"/>
                <w:lang w:val="de-DE" w:eastAsia="en-US"/>
              </w:rPr>
              <w:t>rganisationen</w:t>
            </w:r>
            <w:r w:rsidR="00175652">
              <w:rPr>
                <w:rFonts w:ascii="Arial" w:hAnsi="Arial" w:eastAsia="Arial" w:cs="Arial"/>
                <w:sz w:val="22"/>
                <w:szCs w:val="22"/>
                <w:bdr w:val="nil"/>
                <w:lang w:val="de-DE" w:eastAsia="en-US"/>
              </w:rPr>
              <w:t>,</w:t>
            </w:r>
            <w:r>
              <w:rPr>
                <w:rFonts w:ascii="Arial" w:hAnsi="Arial" w:eastAsia="Arial" w:cs="Arial"/>
                <w:sz w:val="22"/>
                <w:szCs w:val="22"/>
                <w:bdr w:val="nil"/>
                <w:lang w:val="de-DE" w:eastAsia="en-US"/>
              </w:rPr>
              <w:t xml:space="preserve"> </w:t>
            </w:r>
            <w:r w:rsidR="00175652">
              <w:rPr>
                <w:rFonts w:ascii="Arial" w:hAnsi="Arial" w:eastAsia="Arial" w:cs="Arial"/>
                <w:sz w:val="22"/>
                <w:szCs w:val="22"/>
                <w:bdr w:val="nil"/>
                <w:lang w:val="de-DE" w:eastAsia="en-US"/>
              </w:rPr>
              <w:t xml:space="preserve">die diese Gruppen repräsentieren, </w:t>
            </w:r>
            <w:r>
              <w:rPr>
                <w:rFonts w:ascii="Arial" w:hAnsi="Arial" w:eastAsia="Arial" w:cs="Arial"/>
                <w:sz w:val="22"/>
                <w:szCs w:val="22"/>
                <w:bdr w:val="nil"/>
                <w:lang w:val="de-DE" w:eastAsia="en-US"/>
              </w:rPr>
              <w:t xml:space="preserve">sowie mit Organisationen, die sich allgemein für Menschenrechte und </w:t>
            </w:r>
            <w:r w:rsidR="008F4296">
              <w:rPr>
                <w:rFonts w:ascii="Arial" w:hAnsi="Arial" w:eastAsia="Arial" w:cs="Arial"/>
                <w:sz w:val="22"/>
                <w:szCs w:val="22"/>
                <w:bdr w:val="nil"/>
                <w:lang w:val="de-DE" w:eastAsia="en-US"/>
              </w:rPr>
              <w:t>Gleichheit</w:t>
            </w:r>
            <w:r>
              <w:rPr>
                <w:rFonts w:ascii="Arial" w:hAnsi="Arial" w:eastAsia="Arial" w:cs="Arial"/>
                <w:sz w:val="22"/>
                <w:szCs w:val="22"/>
                <w:bdr w:val="nil"/>
                <w:lang w:val="de-DE" w:eastAsia="en-US"/>
              </w:rPr>
              <w:t xml:space="preserve"> einsetzen.</w:t>
            </w:r>
            <w:bookmarkEnd w:id="16"/>
          </w:p>
        </w:tc>
      </w:tr>
      <w:tr w:rsidRPr="00C0685F" w:rsidR="00D8651C" w:rsidTr="00C0685F" w14:paraId="06279B65" w14:textId="77777777">
        <w:tc>
          <w:tcPr>
            <w:tcW w:w="9640" w:type="dxa"/>
            <w:shd w:val="clear" w:color="auto" w:fill="auto"/>
            <w:tcMar>
              <w:left w:w="108" w:type="dxa"/>
            </w:tcMar>
          </w:tcPr>
          <w:p w:rsidRPr="00C0685F" w:rsidR="002F3939" w:rsidP="00717075" w:rsidRDefault="0078680C" w14:paraId="6C2C9A48" w14:textId="4E0D81FF">
            <w:pPr>
              <w:numPr>
                <w:ilvl w:val="0"/>
                <w:numId w:val="28"/>
              </w:numPr>
              <w:tabs>
                <w:tab w:val="clear" w:pos="340"/>
                <w:tab w:val="left" w:pos="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Auf eigene Initiative Untersuchungen in allen Angelegenheiten einzuleiten, die unter ihr Mandat fallen und </w:t>
            </w:r>
            <w:r w:rsidR="00175652">
              <w:rPr>
                <w:rFonts w:ascii="Arial" w:hAnsi="Arial" w:eastAsia="Arial" w:cs="Arial"/>
                <w:sz w:val="22"/>
                <w:szCs w:val="22"/>
                <w:bdr w:val="nil"/>
                <w:lang w:val="de-DE"/>
              </w:rPr>
              <w:t>individuelle</w:t>
            </w:r>
            <w:r>
              <w:rPr>
                <w:rFonts w:ascii="Arial" w:hAnsi="Arial" w:eastAsia="Arial" w:cs="Arial"/>
                <w:sz w:val="22"/>
                <w:szCs w:val="22"/>
                <w:bdr w:val="nil"/>
                <w:lang w:val="de-DE"/>
              </w:rPr>
              <w:t xml:space="preserve"> </w:t>
            </w:r>
            <w:r w:rsidR="00175652">
              <w:rPr>
                <w:rFonts w:ascii="Arial" w:hAnsi="Arial" w:eastAsia="Arial" w:cs="Arial"/>
                <w:sz w:val="22"/>
                <w:szCs w:val="22"/>
                <w:bdr w:val="nil"/>
                <w:lang w:val="de-DE"/>
              </w:rPr>
              <w:t>oder</w:t>
            </w:r>
            <w:r>
              <w:rPr>
                <w:rFonts w:ascii="Arial" w:hAnsi="Arial" w:eastAsia="Arial" w:cs="Arial"/>
                <w:sz w:val="22"/>
                <w:szCs w:val="22"/>
                <w:bdr w:val="nil"/>
                <w:lang w:val="de-DE"/>
              </w:rPr>
              <w:t xml:space="preserve"> strukturelle Diskriminierung </w:t>
            </w:r>
            <w:r w:rsidR="00175652">
              <w:rPr>
                <w:rFonts w:ascii="Arial" w:hAnsi="Arial" w:eastAsia="Arial" w:cs="Arial"/>
                <w:sz w:val="22"/>
                <w:szCs w:val="22"/>
                <w:bdr w:val="nil"/>
                <w:lang w:val="de-DE"/>
              </w:rPr>
              <w:t xml:space="preserve">betreffen, </w:t>
            </w:r>
            <w:r>
              <w:rPr>
                <w:rFonts w:ascii="Arial" w:hAnsi="Arial" w:eastAsia="Arial" w:cs="Arial"/>
                <w:sz w:val="22"/>
                <w:szCs w:val="22"/>
                <w:bdr w:val="nil"/>
                <w:lang w:val="de-DE"/>
              </w:rPr>
              <w:t>und Empfehlungen auszusprechen und zu veröffentlichen.</w:t>
            </w:r>
          </w:p>
        </w:tc>
      </w:tr>
      <w:tr w:rsidRPr="00C0685F" w:rsidR="00D8651C" w:rsidTr="00C0685F" w14:paraId="4CB83D16" w14:textId="77777777">
        <w:tc>
          <w:tcPr>
            <w:tcW w:w="9640" w:type="dxa"/>
            <w:shd w:val="clear" w:color="auto" w:fill="auto"/>
            <w:tcMar>
              <w:left w:w="108" w:type="dxa"/>
            </w:tcMar>
          </w:tcPr>
          <w:p w:rsidRPr="00C0685F" w:rsidR="002F3939" w:rsidP="00717075" w:rsidRDefault="0078680C" w14:paraId="38812013" w14:textId="77777777">
            <w:pPr>
              <w:numPr>
                <w:ilvl w:val="0"/>
                <w:numId w:val="28"/>
              </w:numPr>
              <w:tabs>
                <w:tab w:val="clear" w:pos="340"/>
                <w:tab w:val="left" w:pos="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Forschung zu allen Fragen durchzuführen oder in Auftrag zu geben, die unter ihr Mandat fallen.</w:t>
            </w:r>
          </w:p>
        </w:tc>
      </w:tr>
      <w:tr w:rsidRPr="00C0685F" w:rsidR="00D8651C" w:rsidTr="00C0685F" w14:paraId="1BE83FA8" w14:textId="77777777">
        <w:tc>
          <w:tcPr>
            <w:tcW w:w="9640" w:type="dxa"/>
            <w:shd w:val="clear" w:color="auto" w:fill="auto"/>
            <w:tcMar>
              <w:left w:w="108" w:type="dxa"/>
            </w:tcMar>
          </w:tcPr>
          <w:p w:rsidRPr="00C0685F" w:rsidR="002F3939" w:rsidP="00717075" w:rsidRDefault="0078680C" w14:paraId="530C5A12" w14:textId="68D4C918">
            <w:pPr>
              <w:numPr>
                <w:ilvl w:val="0"/>
                <w:numId w:val="28"/>
              </w:numPr>
              <w:tabs>
                <w:tab w:val="clear" w:pos="340"/>
                <w:tab w:val="left" w:pos="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In der gesamten Gesellschaft </w:t>
            </w:r>
            <w:r w:rsidR="008F4296">
              <w:rPr>
                <w:rFonts w:ascii="Arial" w:hAnsi="Arial" w:eastAsia="Arial" w:cs="Arial"/>
                <w:sz w:val="22"/>
                <w:szCs w:val="22"/>
                <w:bdr w:val="nil"/>
                <w:lang w:val="de-DE" w:eastAsia="en-US"/>
              </w:rPr>
              <w:t xml:space="preserve">das </w:t>
            </w:r>
            <w:r>
              <w:rPr>
                <w:rFonts w:ascii="Arial" w:hAnsi="Arial" w:eastAsia="Arial" w:cs="Arial"/>
                <w:sz w:val="22"/>
                <w:szCs w:val="22"/>
                <w:bdr w:val="nil"/>
                <w:lang w:val="de-DE" w:eastAsia="en-US"/>
              </w:rPr>
              <w:t xml:space="preserve">Bewusstsein, </w:t>
            </w:r>
            <w:r w:rsidR="008F4296">
              <w:rPr>
                <w:rFonts w:ascii="Arial" w:hAnsi="Arial" w:eastAsia="Arial" w:cs="Arial"/>
                <w:sz w:val="22"/>
                <w:szCs w:val="22"/>
                <w:bdr w:val="nil"/>
                <w:lang w:val="de-DE" w:eastAsia="en-US"/>
              </w:rPr>
              <w:t xml:space="preserve">das </w:t>
            </w:r>
            <w:r>
              <w:rPr>
                <w:rFonts w:ascii="Arial" w:hAnsi="Arial" w:eastAsia="Arial" w:cs="Arial"/>
                <w:sz w:val="22"/>
                <w:szCs w:val="22"/>
                <w:bdr w:val="nil"/>
                <w:lang w:val="de-DE" w:eastAsia="en-US"/>
              </w:rPr>
              <w:t xml:space="preserve">Wissen, </w:t>
            </w:r>
            <w:r w:rsidR="008F4296">
              <w:rPr>
                <w:rFonts w:ascii="Arial" w:hAnsi="Arial" w:eastAsia="Arial" w:cs="Arial"/>
                <w:sz w:val="22"/>
                <w:szCs w:val="22"/>
                <w:bdr w:val="nil"/>
                <w:lang w:val="de-DE" w:eastAsia="en-US"/>
              </w:rPr>
              <w:t xml:space="preserve">die </w:t>
            </w:r>
            <w:r>
              <w:rPr>
                <w:rFonts w:ascii="Arial" w:hAnsi="Arial" w:eastAsia="Arial" w:cs="Arial"/>
                <w:sz w:val="22"/>
                <w:szCs w:val="22"/>
                <w:bdr w:val="nil"/>
                <w:lang w:val="de-DE" w:eastAsia="en-US"/>
              </w:rPr>
              <w:t>Wertschätz</w:t>
            </w:r>
            <w:r w:rsidR="002233F8">
              <w:rPr>
                <w:rFonts w:ascii="Arial" w:hAnsi="Arial" w:eastAsia="Arial" w:cs="Arial"/>
                <w:sz w:val="22"/>
                <w:szCs w:val="22"/>
                <w:bdr w:val="nil"/>
                <w:lang w:val="de-DE" w:eastAsia="en-US"/>
              </w:rPr>
              <w:t>ung</w:t>
            </w:r>
            <w:r>
              <w:rPr>
                <w:rFonts w:ascii="Arial" w:hAnsi="Arial" w:eastAsia="Arial" w:cs="Arial"/>
                <w:sz w:val="22"/>
                <w:szCs w:val="22"/>
                <w:bdr w:val="nil"/>
                <w:lang w:val="de-DE" w:eastAsia="en-US"/>
              </w:rPr>
              <w:t xml:space="preserve"> und </w:t>
            </w:r>
            <w:r w:rsidR="008F4296">
              <w:rPr>
                <w:rFonts w:ascii="Arial" w:hAnsi="Arial" w:eastAsia="Arial" w:cs="Arial"/>
                <w:sz w:val="22"/>
                <w:szCs w:val="22"/>
                <w:bdr w:val="nil"/>
                <w:lang w:val="de-DE" w:eastAsia="en-US"/>
              </w:rPr>
              <w:t xml:space="preserve">den </w:t>
            </w:r>
            <w:r>
              <w:rPr>
                <w:rFonts w:ascii="Arial" w:hAnsi="Arial" w:eastAsia="Arial" w:cs="Arial"/>
                <w:sz w:val="22"/>
                <w:szCs w:val="22"/>
                <w:bdr w:val="nil"/>
                <w:lang w:val="de-DE" w:eastAsia="en-US"/>
              </w:rPr>
              <w:t xml:space="preserve">Respekt von </w:t>
            </w:r>
            <w:r w:rsidR="00E3434C">
              <w:rPr>
                <w:rFonts w:ascii="Arial" w:hAnsi="Arial" w:eastAsia="Arial" w:cs="Arial"/>
                <w:sz w:val="22"/>
                <w:szCs w:val="22"/>
                <w:bdr w:val="nil"/>
                <w:lang w:val="de-DE" w:eastAsia="en-US"/>
              </w:rPr>
              <w:t>Gleichheit</w:t>
            </w:r>
            <w:r>
              <w:rPr>
                <w:rFonts w:ascii="Arial" w:hAnsi="Arial" w:eastAsia="Arial" w:cs="Arial"/>
                <w:sz w:val="22"/>
                <w:szCs w:val="22"/>
                <w:bdr w:val="nil"/>
                <w:lang w:val="de-DE" w:eastAsia="en-US"/>
              </w:rPr>
              <w:t>, Vielfalt, Gleich</w:t>
            </w:r>
            <w:r w:rsidR="00175652">
              <w:rPr>
                <w:rFonts w:ascii="Arial" w:hAnsi="Arial" w:eastAsia="Arial" w:cs="Arial"/>
                <w:sz w:val="22"/>
                <w:szCs w:val="22"/>
                <w:bdr w:val="nil"/>
                <w:lang w:val="de-DE" w:eastAsia="en-US"/>
              </w:rPr>
              <w:t>behandlungsg</w:t>
            </w:r>
            <w:r>
              <w:rPr>
                <w:rFonts w:ascii="Arial" w:hAnsi="Arial" w:eastAsia="Arial" w:cs="Arial"/>
                <w:sz w:val="22"/>
                <w:szCs w:val="22"/>
                <w:bdr w:val="nil"/>
                <w:lang w:val="de-DE" w:eastAsia="en-US"/>
              </w:rPr>
              <w:t>esetz</w:t>
            </w:r>
            <w:r w:rsidR="00E3434C">
              <w:rPr>
                <w:rFonts w:ascii="Arial" w:hAnsi="Arial" w:eastAsia="Arial" w:cs="Arial"/>
                <w:sz w:val="22"/>
                <w:szCs w:val="22"/>
                <w:bdr w:val="nil"/>
                <w:lang w:val="de-DE" w:eastAsia="en-US"/>
              </w:rPr>
              <w:t>gebung</w:t>
            </w:r>
            <w:r>
              <w:rPr>
                <w:rFonts w:ascii="Arial" w:hAnsi="Arial" w:eastAsia="Arial" w:cs="Arial"/>
                <w:sz w:val="22"/>
                <w:szCs w:val="22"/>
                <w:bdr w:val="nil"/>
                <w:lang w:val="de-DE" w:eastAsia="en-US"/>
              </w:rPr>
              <w:t xml:space="preserve">, Nichtdiskriminierung </w:t>
            </w:r>
            <w:r w:rsidR="002233F8">
              <w:rPr>
                <w:rFonts w:ascii="Arial" w:hAnsi="Arial" w:eastAsia="Arial" w:cs="Arial"/>
                <w:sz w:val="22"/>
                <w:szCs w:val="22"/>
                <w:bdr w:val="nil"/>
                <w:lang w:val="de-DE" w:eastAsia="en-US"/>
              </w:rPr>
              <w:t xml:space="preserve">sowie </w:t>
            </w:r>
            <w:r>
              <w:rPr>
                <w:rFonts w:ascii="Arial" w:hAnsi="Arial" w:eastAsia="Arial" w:cs="Arial"/>
                <w:sz w:val="22"/>
                <w:szCs w:val="22"/>
                <w:bdr w:val="nil"/>
                <w:lang w:val="de-DE" w:eastAsia="en-US"/>
              </w:rPr>
              <w:t>gegenseitige</w:t>
            </w:r>
            <w:r w:rsidR="002A166A">
              <w:rPr>
                <w:rFonts w:ascii="Arial" w:hAnsi="Arial" w:eastAsia="Arial" w:cs="Arial"/>
                <w:sz w:val="22"/>
                <w:szCs w:val="22"/>
                <w:bdr w:val="nil"/>
                <w:lang w:val="de-DE" w:eastAsia="en-US"/>
              </w:rPr>
              <w:t>m</w:t>
            </w:r>
            <w:r>
              <w:rPr>
                <w:rFonts w:ascii="Arial" w:hAnsi="Arial" w:eastAsia="Arial" w:cs="Arial"/>
                <w:sz w:val="22"/>
                <w:szCs w:val="22"/>
                <w:bdr w:val="nil"/>
                <w:lang w:val="de-DE" w:eastAsia="en-US"/>
              </w:rPr>
              <w:t xml:space="preserve"> Verständnis au</w:t>
            </w:r>
            <w:r w:rsidR="002A166A">
              <w:rPr>
                <w:rFonts w:ascii="Arial" w:hAnsi="Arial" w:eastAsia="Arial" w:cs="Arial"/>
                <w:sz w:val="22"/>
                <w:szCs w:val="22"/>
                <w:bdr w:val="nil"/>
                <w:lang w:val="de-DE" w:eastAsia="en-US"/>
              </w:rPr>
              <w:t>s</w:t>
            </w:r>
            <w:r>
              <w:rPr>
                <w:rFonts w:ascii="Arial" w:hAnsi="Arial" w:eastAsia="Arial" w:cs="Arial"/>
                <w:sz w:val="22"/>
                <w:szCs w:val="22"/>
                <w:bdr w:val="nil"/>
                <w:lang w:val="de-DE" w:eastAsia="en-US"/>
              </w:rPr>
              <w:t>zubauen.</w:t>
            </w:r>
          </w:p>
        </w:tc>
      </w:tr>
      <w:tr w:rsidRPr="00C0685F" w:rsidR="00D8651C" w:rsidTr="00C0685F" w14:paraId="77472C2C" w14:textId="77777777">
        <w:tc>
          <w:tcPr>
            <w:tcW w:w="9640" w:type="dxa"/>
            <w:shd w:val="clear" w:color="auto" w:fill="auto"/>
            <w:tcMar>
              <w:left w:w="108" w:type="dxa"/>
            </w:tcMar>
          </w:tcPr>
          <w:p w:rsidRPr="00C0685F" w:rsidR="002F3939" w:rsidP="00717075" w:rsidRDefault="002233F8" w14:paraId="37DEBEB6" w14:textId="791DCCFA">
            <w:pPr>
              <w:numPr>
                <w:ilvl w:val="0"/>
                <w:numId w:val="28"/>
              </w:numPr>
              <w:tabs>
                <w:tab w:val="clear" w:pos="340"/>
                <w:tab w:val="left" w:pos="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In</w:t>
            </w:r>
            <w:r w:rsidR="002A166A">
              <w:rPr>
                <w:rFonts w:ascii="Arial" w:hAnsi="Arial" w:eastAsia="Arial" w:cs="Arial"/>
                <w:sz w:val="22"/>
                <w:szCs w:val="22"/>
                <w:bdr w:val="nil"/>
                <w:lang w:val="de-DE" w:eastAsia="en-US"/>
              </w:rPr>
              <w:t>nerhalb</w:t>
            </w:r>
            <w:r>
              <w:rPr>
                <w:rFonts w:ascii="Arial" w:hAnsi="Arial" w:eastAsia="Arial" w:cs="Arial"/>
                <w:sz w:val="22"/>
                <w:szCs w:val="22"/>
                <w:bdr w:val="nil"/>
                <w:lang w:val="de-DE" w:eastAsia="en-US"/>
              </w:rPr>
              <w:t xml:space="preserve"> </w:t>
            </w:r>
            <w:r w:rsidR="0078680C">
              <w:rPr>
                <w:rFonts w:ascii="Arial" w:hAnsi="Arial" w:eastAsia="Arial" w:cs="Arial"/>
                <w:sz w:val="22"/>
                <w:szCs w:val="22"/>
                <w:bdr w:val="nil"/>
                <w:lang w:val="de-DE" w:eastAsia="en-US"/>
              </w:rPr>
              <w:t>de</w:t>
            </w:r>
            <w:r w:rsidR="002A166A">
              <w:rPr>
                <w:rFonts w:ascii="Arial" w:hAnsi="Arial" w:eastAsia="Arial" w:cs="Arial"/>
                <w:sz w:val="22"/>
                <w:szCs w:val="22"/>
                <w:bdr w:val="nil"/>
                <w:lang w:val="de-DE" w:eastAsia="en-US"/>
              </w:rPr>
              <w:t>r</w:t>
            </w:r>
            <w:r w:rsidR="0078680C">
              <w:rPr>
                <w:rFonts w:ascii="Arial" w:hAnsi="Arial" w:eastAsia="Arial" w:cs="Arial"/>
                <w:sz w:val="22"/>
                <w:szCs w:val="22"/>
                <w:bdr w:val="nil"/>
                <w:lang w:val="de-DE" w:eastAsia="en-US"/>
              </w:rPr>
              <w:t xml:space="preserve"> Gruppen, die Diskriminierung und Intoleranz </w:t>
            </w:r>
            <w:r>
              <w:rPr>
                <w:rFonts w:ascii="Arial" w:hAnsi="Arial" w:eastAsia="Arial" w:cs="Arial"/>
                <w:sz w:val="22"/>
                <w:szCs w:val="22"/>
                <w:bdr w:val="nil"/>
                <w:lang w:val="de-DE" w:eastAsia="en-US"/>
              </w:rPr>
              <w:t>ausgesetzt sind</w:t>
            </w:r>
            <w:r w:rsidR="0078680C">
              <w:rPr>
                <w:rFonts w:ascii="Arial" w:hAnsi="Arial" w:eastAsia="Arial" w:cs="Arial"/>
                <w:sz w:val="22"/>
                <w:szCs w:val="22"/>
                <w:bdr w:val="nil"/>
                <w:lang w:val="de-DE" w:eastAsia="en-US"/>
              </w:rPr>
              <w:t xml:space="preserve">, das Wissen über die </w:t>
            </w:r>
            <w:r w:rsidR="002A166A">
              <w:rPr>
                <w:rFonts w:ascii="Arial" w:hAnsi="Arial" w:eastAsia="Arial" w:cs="Arial"/>
                <w:sz w:val="22"/>
                <w:szCs w:val="22"/>
                <w:bdr w:val="nil"/>
                <w:lang w:val="de-DE" w:eastAsia="en-US"/>
              </w:rPr>
              <w:t>durch die</w:t>
            </w:r>
            <w:r w:rsidR="0078680C">
              <w:rPr>
                <w:rFonts w:ascii="Arial" w:hAnsi="Arial" w:eastAsia="Arial" w:cs="Arial"/>
                <w:sz w:val="22"/>
                <w:szCs w:val="22"/>
                <w:bdr w:val="nil"/>
                <w:lang w:val="de-DE" w:eastAsia="en-US"/>
              </w:rPr>
              <w:t xml:space="preserve"> Gleichstellungsgesetzgebung eingeführten Rechte und Rechtsmittel, die </w:t>
            </w:r>
            <w:r>
              <w:rPr>
                <w:rFonts w:ascii="Arial" w:hAnsi="Arial" w:eastAsia="Arial" w:cs="Arial"/>
                <w:sz w:val="22"/>
                <w:szCs w:val="22"/>
                <w:bdr w:val="nil"/>
                <w:lang w:val="de-DE" w:eastAsia="en-US"/>
              </w:rPr>
              <w:t>Fähigkeit</w:t>
            </w:r>
            <w:r w:rsidR="0078680C">
              <w:rPr>
                <w:rFonts w:ascii="Arial" w:hAnsi="Arial" w:eastAsia="Arial" w:cs="Arial"/>
                <w:sz w:val="22"/>
                <w:szCs w:val="22"/>
                <w:bdr w:val="nil"/>
                <w:lang w:val="de-DE" w:eastAsia="en-US"/>
              </w:rPr>
              <w:t xml:space="preserve"> zur Ausübung dieser Rechte und das Vertrauen in die </w:t>
            </w:r>
            <w:r w:rsidR="00781974">
              <w:rPr>
                <w:rFonts w:ascii="Arial" w:hAnsi="Arial" w:eastAsia="Arial" w:cs="Arial"/>
                <w:sz w:val="22"/>
                <w:szCs w:val="22"/>
                <w:bdr w:val="nil"/>
                <w:lang w:val="de-DE" w:eastAsia="en-US"/>
              </w:rPr>
              <w:t>Gleichheitsstelle</w:t>
            </w:r>
            <w:r w:rsidR="0078680C">
              <w:rPr>
                <w:rFonts w:ascii="Arial" w:hAnsi="Arial" w:eastAsia="Arial" w:cs="Arial"/>
                <w:sz w:val="22"/>
                <w:szCs w:val="22"/>
                <w:bdr w:val="nil"/>
                <w:lang w:val="de-DE" w:eastAsia="en-US"/>
              </w:rPr>
              <w:t xml:space="preserve">n </w:t>
            </w:r>
            <w:r w:rsidR="002A166A">
              <w:rPr>
                <w:rFonts w:ascii="Arial" w:hAnsi="Arial" w:eastAsia="Arial" w:cs="Arial"/>
                <w:sz w:val="22"/>
                <w:szCs w:val="22"/>
                <w:bdr w:val="nil"/>
                <w:lang w:val="de-DE" w:eastAsia="en-US"/>
              </w:rPr>
              <w:t>zu entwickeln</w:t>
            </w:r>
            <w:r w:rsidR="0078680C">
              <w:rPr>
                <w:rFonts w:ascii="Arial" w:hAnsi="Arial" w:eastAsia="Arial" w:cs="Arial"/>
                <w:sz w:val="22"/>
                <w:szCs w:val="22"/>
                <w:bdr w:val="nil"/>
                <w:lang w:val="de-DE" w:eastAsia="en-US"/>
              </w:rPr>
              <w:t>.</w:t>
            </w:r>
          </w:p>
        </w:tc>
      </w:tr>
      <w:tr w:rsidRPr="00C0685F" w:rsidR="00D8651C" w:rsidTr="00C0685F" w14:paraId="5F56903C" w14:textId="77777777">
        <w:tc>
          <w:tcPr>
            <w:tcW w:w="9640" w:type="dxa"/>
            <w:shd w:val="clear" w:color="auto" w:fill="auto"/>
            <w:tcMar>
              <w:left w:w="108" w:type="dxa"/>
            </w:tcMar>
          </w:tcPr>
          <w:p w:rsidRPr="00C0685F" w:rsidR="002F3939" w:rsidP="00717075" w:rsidRDefault="0078680C" w14:paraId="00768EF2" w14:textId="6E77A2E6">
            <w:pPr>
              <w:numPr>
                <w:ilvl w:val="0"/>
                <w:numId w:val="28"/>
              </w:numPr>
              <w:tabs>
                <w:tab w:val="clear" w:pos="340"/>
                <w:tab w:val="left" w:pos="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Standards zu entwickeln und für </w:t>
            </w:r>
            <w:r w:rsidR="002233F8">
              <w:rPr>
                <w:rFonts w:ascii="Arial" w:hAnsi="Arial" w:eastAsia="Arial" w:cs="Arial"/>
                <w:sz w:val="22"/>
                <w:szCs w:val="22"/>
                <w:bdr w:val="nil"/>
                <w:lang w:val="de-DE" w:eastAsia="en-US"/>
              </w:rPr>
              <w:t xml:space="preserve">Einzelpersonen </w:t>
            </w:r>
            <w:r>
              <w:rPr>
                <w:rFonts w:ascii="Arial" w:hAnsi="Arial" w:eastAsia="Arial" w:cs="Arial"/>
                <w:sz w:val="22"/>
                <w:szCs w:val="22"/>
                <w:bdr w:val="nil"/>
                <w:lang w:val="de-DE" w:eastAsia="en-US"/>
              </w:rPr>
              <w:t xml:space="preserve">und Institutionen im öffentlichen und privaten Sektor Informationen, Beratung, Anleitung und Unterstützung </w:t>
            </w:r>
            <w:r w:rsidR="002A166A">
              <w:rPr>
                <w:rFonts w:ascii="Arial" w:hAnsi="Arial" w:eastAsia="Arial" w:cs="Arial"/>
                <w:sz w:val="22"/>
                <w:szCs w:val="22"/>
                <w:bdr w:val="nil"/>
                <w:lang w:val="de-DE" w:eastAsia="en-US"/>
              </w:rPr>
              <w:t>bereitzustellen zu bewährten Praktiken</w:t>
            </w:r>
            <w:r>
              <w:rPr>
                <w:rFonts w:ascii="Arial" w:hAnsi="Arial" w:eastAsia="Arial" w:cs="Arial"/>
                <w:sz w:val="22"/>
                <w:szCs w:val="22"/>
                <w:bdr w:val="nil"/>
                <w:lang w:val="de-DE" w:eastAsia="en-US"/>
              </w:rPr>
              <w:t xml:space="preserve"> zur Förderung und zu</w:t>
            </w:r>
            <w:r w:rsidR="002A166A">
              <w:rPr>
                <w:rFonts w:ascii="Arial" w:hAnsi="Arial" w:eastAsia="Arial" w:cs="Arial"/>
                <w:sz w:val="22"/>
                <w:szCs w:val="22"/>
                <w:bdr w:val="nil"/>
                <w:lang w:val="de-DE" w:eastAsia="en-US"/>
              </w:rPr>
              <w:t>r</w:t>
            </w:r>
            <w:r>
              <w:rPr>
                <w:rFonts w:ascii="Arial" w:hAnsi="Arial" w:eastAsia="Arial" w:cs="Arial"/>
                <w:sz w:val="22"/>
                <w:szCs w:val="22"/>
                <w:bdr w:val="nil"/>
                <w:lang w:val="de-DE" w:eastAsia="en-US"/>
              </w:rPr>
              <w:t xml:space="preserve"> </w:t>
            </w:r>
            <w:r w:rsidR="002A166A">
              <w:rPr>
                <w:rFonts w:ascii="Arial" w:hAnsi="Arial" w:eastAsia="Arial" w:cs="Arial"/>
                <w:sz w:val="22"/>
                <w:szCs w:val="22"/>
                <w:bdr w:val="nil"/>
                <w:lang w:val="de-DE" w:eastAsia="en-US"/>
              </w:rPr>
              <w:t xml:space="preserve">Verwirklichung </w:t>
            </w:r>
            <w:r>
              <w:rPr>
                <w:rFonts w:ascii="Arial" w:hAnsi="Arial" w:eastAsia="Arial" w:cs="Arial"/>
                <w:sz w:val="22"/>
                <w:szCs w:val="22"/>
                <w:bdr w:val="nil"/>
                <w:lang w:val="de-DE" w:eastAsia="en-US"/>
              </w:rPr>
              <w:t>von Gleichheit und zur Prävention von Diskriminierung und Intoleranz.</w:t>
            </w:r>
          </w:p>
        </w:tc>
      </w:tr>
      <w:tr w:rsidRPr="00C0685F" w:rsidR="00D8651C" w:rsidTr="00C0685F" w14:paraId="673C27B2" w14:textId="77777777">
        <w:tc>
          <w:tcPr>
            <w:tcW w:w="9640" w:type="dxa"/>
            <w:shd w:val="clear" w:color="auto" w:fill="auto"/>
            <w:tcMar>
              <w:left w:w="108" w:type="dxa"/>
            </w:tcMar>
          </w:tcPr>
          <w:p w:rsidRPr="00C0685F" w:rsidR="002F3939" w:rsidP="005B4190" w:rsidRDefault="0078680C" w14:paraId="16E84217" w14:textId="7EB13E59">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Den Einsatz positiver Maßnahmen zur Behebung der Ungleichheit im öffentlichen und privaten </w:t>
            </w:r>
            <w:r w:rsidR="0045528B">
              <w:rPr>
                <w:rFonts w:ascii="Arial" w:hAnsi="Arial" w:eastAsia="Arial" w:cs="Arial"/>
                <w:sz w:val="22"/>
                <w:szCs w:val="22"/>
                <w:bdr w:val="nil"/>
                <w:lang w:val="de-DE" w:eastAsia="en-US"/>
              </w:rPr>
              <w:t xml:space="preserve">Sektor </w:t>
            </w:r>
            <w:r>
              <w:rPr>
                <w:rFonts w:ascii="Arial" w:hAnsi="Arial" w:eastAsia="Arial" w:cs="Arial"/>
                <w:sz w:val="22"/>
                <w:szCs w:val="22"/>
                <w:bdr w:val="nil"/>
                <w:lang w:val="de-DE" w:eastAsia="en-US"/>
              </w:rPr>
              <w:t>zu fördern und zu unterstützen.</w:t>
            </w:r>
          </w:p>
        </w:tc>
      </w:tr>
      <w:tr w:rsidRPr="00C0685F" w:rsidR="00D8651C" w:rsidTr="00C0685F" w14:paraId="6B563AA1" w14:textId="77777777">
        <w:tc>
          <w:tcPr>
            <w:tcW w:w="9640" w:type="dxa"/>
            <w:shd w:val="clear" w:color="auto" w:fill="auto"/>
            <w:tcMar>
              <w:left w:w="108" w:type="dxa"/>
            </w:tcMar>
          </w:tcPr>
          <w:p w:rsidRPr="00C0685F" w:rsidR="002F3939" w:rsidP="007802B8" w:rsidRDefault="0078680C" w14:paraId="09CBD27A" w14:textId="27E018A0">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Die Umsetzung der </w:t>
            </w:r>
            <w:r w:rsidR="008F4296">
              <w:rPr>
                <w:rFonts w:ascii="Arial" w:hAnsi="Arial" w:eastAsia="Arial" w:cs="Arial"/>
                <w:sz w:val="22"/>
                <w:szCs w:val="22"/>
                <w:bdr w:val="nil"/>
                <w:lang w:val="de-DE" w:eastAsia="en-US"/>
              </w:rPr>
              <w:t>allgemeinen Verpflichtung</w:t>
            </w:r>
            <w:r>
              <w:rPr>
                <w:rFonts w:ascii="Arial" w:hAnsi="Arial" w:eastAsia="Arial" w:cs="Arial"/>
                <w:sz w:val="22"/>
                <w:szCs w:val="22"/>
                <w:bdr w:val="nil"/>
                <w:lang w:val="de-DE" w:eastAsia="en-US"/>
              </w:rPr>
              <w:t xml:space="preserve"> aller Behörden zur Förderung der Gleichheit und zur Prävention </w:t>
            </w:r>
            <w:r w:rsidR="008F4296">
              <w:rPr>
                <w:rFonts w:ascii="Arial" w:hAnsi="Arial" w:eastAsia="Arial" w:cs="Arial"/>
                <w:sz w:val="22"/>
                <w:szCs w:val="22"/>
                <w:bdr w:val="nil"/>
                <w:lang w:val="de-DE" w:eastAsia="en-US"/>
              </w:rPr>
              <w:t>v</w:t>
            </w:r>
            <w:r>
              <w:rPr>
                <w:rFonts w:ascii="Arial" w:hAnsi="Arial" w:eastAsia="Arial" w:cs="Arial"/>
                <w:sz w:val="22"/>
                <w:szCs w:val="22"/>
                <w:bdr w:val="nil"/>
                <w:lang w:val="de-DE" w:eastAsia="en-US"/>
              </w:rPr>
              <w:t xml:space="preserve">on Diskriminierung bei der Ausübung ihrer Aufgaben zu unterstützen, wie in der Allgemeinen </w:t>
            </w:r>
            <w:r w:rsidR="00D4725B">
              <w:rPr>
                <w:rFonts w:ascii="Arial" w:hAnsi="Arial" w:eastAsia="Arial" w:cs="Arial"/>
                <w:sz w:val="22"/>
                <w:szCs w:val="22"/>
                <w:bdr w:val="nil"/>
                <w:lang w:val="de-DE"/>
              </w:rPr>
              <w:t>Politikempfehlung</w:t>
            </w:r>
            <w:r>
              <w:rPr>
                <w:rFonts w:ascii="Arial" w:hAnsi="Arial" w:eastAsia="Arial" w:cs="Arial"/>
                <w:sz w:val="22"/>
                <w:szCs w:val="22"/>
                <w:bdr w:val="nil"/>
                <w:lang w:val="de-DE" w:eastAsia="en-US"/>
              </w:rPr>
              <w:t xml:space="preserve"> Nr. 7 von ECRI </w:t>
            </w:r>
            <w:r w:rsidR="008F4296">
              <w:rPr>
                <w:rFonts w:ascii="Arial" w:hAnsi="Arial" w:eastAsia="Arial" w:cs="Arial"/>
                <w:sz w:val="22"/>
                <w:szCs w:val="22"/>
                <w:bdr w:val="nil"/>
                <w:lang w:val="de-DE" w:eastAsia="en-US"/>
              </w:rPr>
              <w:t>empfohlen</w:t>
            </w:r>
            <w:r>
              <w:rPr>
                <w:rFonts w:ascii="Arial" w:hAnsi="Arial" w:eastAsia="Arial" w:cs="Arial"/>
                <w:sz w:val="22"/>
                <w:szCs w:val="22"/>
                <w:bdr w:val="nil"/>
                <w:lang w:val="de-DE" w:eastAsia="en-US"/>
              </w:rPr>
              <w:t xml:space="preserve">, Standards für deren Umsetzung zu etablieren und diese </w:t>
            </w:r>
            <w:r w:rsidR="008F4296">
              <w:rPr>
                <w:rFonts w:ascii="Arial" w:hAnsi="Arial" w:eastAsia="Arial" w:cs="Arial"/>
                <w:sz w:val="22"/>
                <w:szCs w:val="22"/>
                <w:bdr w:val="nil"/>
                <w:lang w:val="de-DE" w:eastAsia="en-US"/>
              </w:rPr>
              <w:t xml:space="preserve">gegebenenfalls </w:t>
            </w:r>
            <w:r>
              <w:rPr>
                <w:rFonts w:ascii="Arial" w:hAnsi="Arial" w:eastAsia="Arial" w:cs="Arial"/>
                <w:sz w:val="22"/>
                <w:szCs w:val="22"/>
                <w:bdr w:val="nil"/>
                <w:lang w:val="de-DE" w:eastAsia="en-US"/>
              </w:rPr>
              <w:t>durchzusetzen.</w:t>
            </w:r>
          </w:p>
        </w:tc>
      </w:tr>
      <w:tr w:rsidRPr="00C0685F" w:rsidR="00D8651C" w:rsidTr="00C0685F" w14:paraId="2E51546A" w14:textId="77777777">
        <w:tc>
          <w:tcPr>
            <w:tcW w:w="9640" w:type="dxa"/>
            <w:shd w:val="clear" w:color="auto" w:fill="auto"/>
            <w:tcMar>
              <w:left w:w="108" w:type="dxa"/>
            </w:tcMar>
          </w:tcPr>
          <w:p w:rsidRPr="00C0685F" w:rsidR="002F3939" w:rsidP="005B4190" w:rsidRDefault="0078680C" w14:paraId="6614280C" w14:textId="6973415E">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An Konsultationsverfahren für neue </w:t>
            </w:r>
            <w:r w:rsidR="0045528B">
              <w:rPr>
                <w:rFonts w:ascii="Arial" w:hAnsi="Arial" w:eastAsia="Arial" w:cs="Arial"/>
                <w:sz w:val="22"/>
                <w:szCs w:val="22"/>
                <w:bdr w:val="nil"/>
                <w:lang w:val="de-DE" w:eastAsia="en-US"/>
              </w:rPr>
              <w:t>Politiken</w:t>
            </w:r>
            <w:r>
              <w:rPr>
                <w:rFonts w:ascii="Arial" w:hAnsi="Arial" w:eastAsia="Arial" w:cs="Arial"/>
                <w:sz w:val="22"/>
                <w:szCs w:val="22"/>
                <w:bdr w:val="nil"/>
                <w:lang w:val="de-DE" w:eastAsia="en-US"/>
              </w:rPr>
              <w:t xml:space="preserve">, Gesetze und </w:t>
            </w:r>
            <w:r w:rsidR="0045528B">
              <w:rPr>
                <w:rFonts w:ascii="Arial" w:hAnsi="Arial" w:eastAsia="Arial" w:cs="Arial"/>
                <w:sz w:val="22"/>
                <w:szCs w:val="22"/>
                <w:bdr w:val="nil"/>
                <w:lang w:val="de-DE" w:eastAsia="en-US"/>
              </w:rPr>
              <w:t xml:space="preserve">Durchführungsvorschriften </w:t>
            </w:r>
            <w:r>
              <w:rPr>
                <w:rFonts w:ascii="Arial" w:hAnsi="Arial" w:eastAsia="Arial" w:cs="Arial"/>
                <w:sz w:val="22"/>
                <w:szCs w:val="22"/>
                <w:bdr w:val="nil"/>
                <w:lang w:val="de-DE" w:eastAsia="en-US"/>
              </w:rPr>
              <w:t xml:space="preserve">teilzunehmen und Empfehlungen zur Änderung oder Einführung </w:t>
            </w:r>
            <w:r w:rsidR="0045528B">
              <w:rPr>
                <w:rFonts w:ascii="Arial" w:hAnsi="Arial" w:eastAsia="Arial" w:cs="Arial"/>
                <w:sz w:val="22"/>
                <w:szCs w:val="22"/>
                <w:bdr w:val="nil"/>
                <w:lang w:val="de-DE" w:eastAsia="en-US"/>
              </w:rPr>
              <w:t>von</w:t>
            </w:r>
            <w:r>
              <w:rPr>
                <w:rFonts w:ascii="Arial" w:hAnsi="Arial" w:eastAsia="Arial" w:cs="Arial"/>
                <w:sz w:val="22"/>
                <w:szCs w:val="22"/>
                <w:bdr w:val="nil"/>
                <w:lang w:val="de-DE" w:eastAsia="en-US"/>
              </w:rPr>
              <w:t xml:space="preserve"> Politik</w:t>
            </w:r>
            <w:r w:rsidR="0045528B">
              <w:rPr>
                <w:rFonts w:ascii="Arial" w:hAnsi="Arial" w:eastAsia="Arial" w:cs="Arial"/>
                <w:sz w:val="22"/>
                <w:szCs w:val="22"/>
                <w:bdr w:val="nil"/>
                <w:lang w:val="de-DE" w:eastAsia="en-US"/>
              </w:rPr>
              <w:t>en</w:t>
            </w:r>
            <w:r>
              <w:rPr>
                <w:rFonts w:ascii="Arial" w:hAnsi="Arial" w:eastAsia="Arial" w:cs="Arial"/>
                <w:sz w:val="22"/>
                <w:szCs w:val="22"/>
                <w:bdr w:val="nil"/>
                <w:lang w:val="de-DE" w:eastAsia="en-US"/>
              </w:rPr>
              <w:t>, Gesetz</w:t>
            </w:r>
            <w:r w:rsidR="0045528B">
              <w:rPr>
                <w:rFonts w:ascii="Arial" w:hAnsi="Arial" w:eastAsia="Arial" w:cs="Arial"/>
                <w:sz w:val="22"/>
                <w:szCs w:val="22"/>
                <w:bdr w:val="nil"/>
                <w:lang w:val="de-DE" w:eastAsia="en-US"/>
              </w:rPr>
              <w:t>en</w:t>
            </w:r>
            <w:r>
              <w:rPr>
                <w:rFonts w:ascii="Arial" w:hAnsi="Arial" w:eastAsia="Arial" w:cs="Arial"/>
                <w:sz w:val="22"/>
                <w:szCs w:val="22"/>
                <w:bdr w:val="nil"/>
                <w:lang w:val="de-DE" w:eastAsia="en-US"/>
              </w:rPr>
              <w:t xml:space="preserve"> oder </w:t>
            </w:r>
            <w:r w:rsidR="0045528B">
              <w:rPr>
                <w:rFonts w:ascii="Arial" w:hAnsi="Arial" w:eastAsia="Arial" w:cs="Arial"/>
                <w:sz w:val="22"/>
                <w:szCs w:val="22"/>
                <w:bdr w:val="nil"/>
                <w:lang w:val="de-DE" w:eastAsia="en-US"/>
              </w:rPr>
              <w:t>Durchführungsvorschriften</w:t>
            </w:r>
            <w:r>
              <w:rPr>
                <w:rFonts w:ascii="Arial" w:hAnsi="Arial" w:eastAsia="Arial" w:cs="Arial"/>
                <w:sz w:val="22"/>
                <w:szCs w:val="22"/>
                <w:bdr w:val="nil"/>
                <w:lang w:val="de-DE" w:eastAsia="en-US"/>
              </w:rPr>
              <w:t xml:space="preserve"> auszusprechen.</w:t>
            </w:r>
          </w:p>
        </w:tc>
      </w:tr>
      <w:tr w:rsidRPr="00C0685F" w:rsidR="00D8651C" w:rsidTr="00C0685F" w14:paraId="4A016E28" w14:textId="77777777">
        <w:tc>
          <w:tcPr>
            <w:tcW w:w="9640" w:type="dxa"/>
            <w:shd w:val="clear" w:color="auto" w:fill="auto"/>
            <w:tcMar>
              <w:left w:w="108" w:type="dxa"/>
            </w:tcMar>
          </w:tcPr>
          <w:p w:rsidRPr="00C0685F" w:rsidR="002F3939" w:rsidP="005B4190" w:rsidRDefault="0078680C" w14:paraId="01202A3F" w14:textId="77777777">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Schulungen von Schlüsselgruppen in Bezug auf Gleichheit und Nichtdiskriminierung zu fördern und zu diesen beizutragen.</w:t>
            </w:r>
          </w:p>
        </w:tc>
      </w:tr>
      <w:tr w:rsidRPr="00C0685F" w:rsidR="00D8651C" w:rsidTr="00C0685F" w14:paraId="767EA4FC" w14:textId="77777777">
        <w:tc>
          <w:tcPr>
            <w:tcW w:w="9640" w:type="dxa"/>
            <w:shd w:val="clear" w:color="auto" w:fill="auto"/>
            <w:tcMar>
              <w:left w:w="108" w:type="dxa"/>
            </w:tcMar>
          </w:tcPr>
          <w:p w:rsidRPr="00C0685F" w:rsidR="002F3939" w:rsidP="005B4190" w:rsidRDefault="0078680C" w14:paraId="33EBC202" w14:textId="77777777">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Die Umsetzung ihrer Empfehlungen zu überwachen.</w:t>
            </w:r>
          </w:p>
        </w:tc>
      </w:tr>
      <w:tr w:rsidRPr="00C0685F" w:rsidR="00D8651C" w:rsidTr="00C0685F" w14:paraId="67351358" w14:textId="77777777">
        <w:tc>
          <w:tcPr>
            <w:tcW w:w="9640" w:type="dxa"/>
            <w:shd w:val="clear" w:color="auto" w:fill="auto"/>
            <w:tcMar>
              <w:left w:w="108" w:type="dxa"/>
            </w:tcMar>
          </w:tcPr>
          <w:p w:rsidRPr="00C0685F" w:rsidR="002F3939" w:rsidP="007802B8" w:rsidRDefault="0078680C" w14:paraId="738C44B7" w14:textId="059F9010">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eastAsia="en-US"/>
              </w:rPr>
              <w:t xml:space="preserve">Entscheidungen von Gerichten und anderen </w:t>
            </w:r>
            <w:r w:rsidR="00952CCE">
              <w:rPr>
                <w:rFonts w:ascii="Arial" w:hAnsi="Arial" w:eastAsia="Arial" w:cs="Arial"/>
                <w:sz w:val="22"/>
                <w:szCs w:val="22"/>
                <w:bdr w:val="nil"/>
                <w:lang w:val="de-DE" w:eastAsia="en-US"/>
              </w:rPr>
              <w:t>Entscheidungsinstanz</w:t>
            </w:r>
            <w:r>
              <w:rPr>
                <w:rFonts w:ascii="Arial" w:hAnsi="Arial" w:eastAsia="Arial" w:cs="Arial"/>
                <w:sz w:val="22"/>
                <w:szCs w:val="22"/>
                <w:bdr w:val="nil"/>
                <w:lang w:val="de-DE" w:eastAsia="en-US"/>
              </w:rPr>
              <w:t>en zu verfolgen.</w:t>
            </w:r>
          </w:p>
        </w:tc>
      </w:tr>
      <w:tr w:rsidRPr="00C0685F" w:rsidR="00D8651C" w:rsidTr="00C0685F" w14:paraId="384AA89C" w14:textId="77777777">
        <w:tc>
          <w:tcPr>
            <w:tcW w:w="9640" w:type="dxa"/>
            <w:shd w:val="clear" w:color="auto" w:fill="auto"/>
            <w:tcMar>
              <w:left w:w="108" w:type="dxa"/>
            </w:tcMar>
          </w:tcPr>
          <w:p w:rsidRPr="00C0685F" w:rsidR="002F3939" w:rsidP="005B4190" w:rsidRDefault="0078680C" w14:paraId="7A340256" w14:textId="630D56EE">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sz w:val="22"/>
                <w:lang w:val="de-DE"/>
              </w:rPr>
            </w:pPr>
            <w:bookmarkStart w:name="_Ref474139281" w:id="17"/>
            <w:r>
              <w:rPr>
                <w:rFonts w:ascii="Arial" w:hAnsi="Arial" w:eastAsia="Arial" w:cs="Arial"/>
                <w:sz w:val="22"/>
                <w:szCs w:val="22"/>
                <w:bdr w:val="nil"/>
                <w:lang w:val="de-DE" w:eastAsia="en-US"/>
              </w:rPr>
              <w:t xml:space="preserve">Die Ratifizierung relevanter internationaler </w:t>
            </w:r>
            <w:r w:rsidR="0045528B">
              <w:rPr>
                <w:rFonts w:ascii="Arial" w:hAnsi="Arial" w:eastAsia="Arial" w:cs="Arial"/>
                <w:sz w:val="22"/>
                <w:szCs w:val="22"/>
                <w:bdr w:val="nil"/>
                <w:lang w:val="de-DE" w:eastAsia="en-US"/>
              </w:rPr>
              <w:t xml:space="preserve">Abkommen </w:t>
            </w:r>
            <w:r>
              <w:rPr>
                <w:rFonts w:ascii="Arial" w:hAnsi="Arial" w:eastAsia="Arial" w:cs="Arial"/>
                <w:sz w:val="22"/>
                <w:szCs w:val="22"/>
                <w:bdr w:val="nil"/>
                <w:lang w:val="de-DE" w:eastAsia="en-US"/>
              </w:rPr>
              <w:t xml:space="preserve">und die Umsetzung und Verbreitung dieser </w:t>
            </w:r>
            <w:r w:rsidR="0045528B">
              <w:rPr>
                <w:rFonts w:ascii="Arial" w:hAnsi="Arial" w:eastAsia="Arial" w:cs="Arial"/>
                <w:sz w:val="22"/>
                <w:szCs w:val="22"/>
                <w:bdr w:val="nil"/>
                <w:lang w:val="de-DE" w:eastAsia="en-US"/>
              </w:rPr>
              <w:t>Ab</w:t>
            </w:r>
            <w:r>
              <w:rPr>
                <w:rFonts w:ascii="Arial" w:hAnsi="Arial" w:eastAsia="Arial" w:cs="Arial"/>
                <w:sz w:val="22"/>
                <w:szCs w:val="22"/>
                <w:bdr w:val="nil"/>
                <w:lang w:val="de-DE" w:eastAsia="en-US"/>
              </w:rPr>
              <w:t>kommen und relevante</w:t>
            </w:r>
            <w:r w:rsidR="000B04D4">
              <w:rPr>
                <w:rFonts w:ascii="Arial" w:hAnsi="Arial" w:eastAsia="Arial" w:cs="Arial"/>
                <w:sz w:val="22"/>
                <w:szCs w:val="22"/>
                <w:bdr w:val="nil"/>
                <w:lang w:val="de-DE" w:eastAsia="en-US"/>
              </w:rPr>
              <w:t xml:space="preserve">r </w:t>
            </w:r>
            <w:r>
              <w:rPr>
                <w:rFonts w:ascii="Arial" w:hAnsi="Arial" w:eastAsia="Arial" w:cs="Arial"/>
                <w:sz w:val="22"/>
                <w:szCs w:val="22"/>
                <w:bdr w:val="nil"/>
                <w:lang w:val="de-DE" w:eastAsia="en-US"/>
              </w:rPr>
              <w:t>Standards, Rechtsprechung und Berichte</w:t>
            </w:r>
            <w:r w:rsidR="000B04D4">
              <w:rPr>
                <w:rFonts w:ascii="Arial" w:hAnsi="Arial" w:eastAsia="Arial" w:cs="Arial"/>
                <w:sz w:val="22"/>
                <w:szCs w:val="22"/>
                <w:bdr w:val="nil"/>
                <w:lang w:val="de-DE" w:eastAsia="en-US"/>
              </w:rPr>
              <w:t xml:space="preserve"> zwischenstaatlicher Organisationen</w:t>
            </w:r>
            <w:r>
              <w:rPr>
                <w:rFonts w:ascii="Arial" w:hAnsi="Arial" w:eastAsia="Arial" w:cs="Arial"/>
                <w:sz w:val="22"/>
                <w:szCs w:val="22"/>
                <w:bdr w:val="nil"/>
                <w:lang w:val="de-DE" w:eastAsia="en-US"/>
              </w:rPr>
              <w:t xml:space="preserve"> zu fördern und zu unterstützen; an Verfahren von und </w:t>
            </w:r>
            <w:r>
              <w:rPr>
                <w:rFonts w:ascii="Arial" w:hAnsi="Arial" w:eastAsia="Arial" w:cs="Arial"/>
                <w:sz w:val="22"/>
                <w:szCs w:val="22"/>
                <w:bdr w:val="nil"/>
                <w:lang w:val="de-DE" w:eastAsia="en-US"/>
              </w:rPr>
              <w:lastRenderedPageBreak/>
              <w:t>mit relevanten zwischenstaatlichen Organisationen teilzunehmen, deren Empfehlungen zu berücksichtigen und deren Umsetzung zu überwachen.</w:t>
            </w:r>
            <w:bookmarkEnd w:id="17"/>
          </w:p>
        </w:tc>
      </w:tr>
      <w:tr w:rsidRPr="00C0685F" w:rsidR="00D8651C" w:rsidTr="00C0685F" w14:paraId="7FB0F716" w14:textId="77777777">
        <w:tc>
          <w:tcPr>
            <w:tcW w:w="9640" w:type="dxa"/>
            <w:shd w:val="clear" w:color="auto" w:fill="auto"/>
            <w:tcMar>
              <w:left w:w="108" w:type="dxa"/>
            </w:tcMar>
          </w:tcPr>
          <w:p w:rsidRPr="006C29B1" w:rsidR="002F3939" w:rsidP="005B4190" w:rsidRDefault="0078680C" w14:paraId="23333CD2" w14:textId="2E681939">
            <w:pPr>
              <w:numPr>
                <w:ilvl w:val="0"/>
                <w:numId w:val="28"/>
              </w:numPr>
              <w:tabs>
                <w:tab w:val="clear" w:pos="340"/>
                <w:tab w:val="num" w:pos="1169"/>
                <w:tab w:val="left" w:pos="3828"/>
              </w:tabs>
              <w:spacing w:before="100" w:beforeAutospacing="1" w:after="100" w:afterAutospacing="1" w:line="240" w:lineRule="exact"/>
              <w:ind w:left="743"/>
              <w:jc w:val="both"/>
              <w:rPr>
                <w:rFonts w:ascii="Arial" w:hAnsi="Arial" w:cs="Arial"/>
                <w:sz w:val="22"/>
                <w:szCs w:val="22"/>
                <w:lang w:val="de-DE"/>
              </w:rPr>
            </w:pPr>
            <w:bookmarkStart w:name="_Ref474139274" w:id="18"/>
            <w:r>
              <w:rPr>
                <w:rFonts w:ascii="Arial" w:hAnsi="Arial" w:eastAsia="Arial" w:cs="Arial"/>
                <w:sz w:val="22"/>
                <w:szCs w:val="22"/>
                <w:bdr w:val="nil"/>
                <w:lang w:val="de-DE"/>
              </w:rPr>
              <w:lastRenderedPageBreak/>
              <w:t xml:space="preserve">Mit </w:t>
            </w:r>
            <w:r w:rsidR="000B04D4">
              <w:rPr>
                <w:rFonts w:ascii="Arial" w:hAnsi="Arial" w:eastAsia="Arial" w:cs="Arial"/>
                <w:sz w:val="22"/>
                <w:szCs w:val="22"/>
                <w:bdr w:val="nil"/>
                <w:lang w:val="de-DE"/>
              </w:rPr>
              <w:t xml:space="preserve">Organisationen </w:t>
            </w:r>
            <w:r>
              <w:rPr>
                <w:rFonts w:ascii="Arial" w:hAnsi="Arial" w:eastAsia="Arial" w:cs="Arial"/>
                <w:sz w:val="22"/>
                <w:szCs w:val="22"/>
                <w:bdr w:val="nil"/>
                <w:lang w:val="de-DE"/>
              </w:rPr>
              <w:t>zu</w:t>
            </w:r>
            <w:r w:rsidR="000B04D4">
              <w:rPr>
                <w:rFonts w:ascii="Arial" w:hAnsi="Arial" w:eastAsia="Arial" w:cs="Arial"/>
                <w:sz w:val="22"/>
                <w:szCs w:val="22"/>
                <w:bdr w:val="nil"/>
                <w:lang w:val="de-DE"/>
              </w:rPr>
              <w:t>sammenzuarbeiten</w:t>
            </w:r>
            <w:r>
              <w:rPr>
                <w:rFonts w:ascii="Arial" w:hAnsi="Arial" w:eastAsia="Arial" w:cs="Arial"/>
                <w:sz w:val="22"/>
                <w:szCs w:val="22"/>
                <w:bdr w:val="nil"/>
                <w:lang w:val="de-DE"/>
              </w:rPr>
              <w:t xml:space="preserve">, die ähnliche Ziele verfolgen wie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und </w:t>
            </w:r>
            <w:r w:rsidR="000B04D4">
              <w:rPr>
                <w:rFonts w:ascii="Arial" w:hAnsi="Arial" w:eastAsia="Arial" w:cs="Arial"/>
                <w:sz w:val="22"/>
                <w:szCs w:val="22"/>
                <w:bdr w:val="nil"/>
                <w:lang w:val="de-DE"/>
              </w:rPr>
              <w:t>solche Organisationen</w:t>
            </w:r>
            <w:r>
              <w:rPr>
                <w:rFonts w:ascii="Arial" w:hAnsi="Arial" w:eastAsia="Arial" w:cs="Arial"/>
                <w:sz w:val="22"/>
                <w:szCs w:val="22"/>
                <w:bdr w:val="nil"/>
                <w:lang w:val="de-DE"/>
              </w:rPr>
              <w:t xml:space="preserve"> zu unterstützen. Ein gemeinsames Verständnis wichtig</w:t>
            </w:r>
            <w:r w:rsidR="000B04D4">
              <w:rPr>
                <w:rFonts w:ascii="Arial" w:hAnsi="Arial" w:eastAsia="Arial" w:cs="Arial"/>
                <w:sz w:val="22"/>
                <w:szCs w:val="22"/>
                <w:bdr w:val="nil"/>
                <w:lang w:val="de-DE"/>
              </w:rPr>
              <w:t>er</w:t>
            </w:r>
            <w:r>
              <w:rPr>
                <w:rFonts w:ascii="Arial" w:hAnsi="Arial" w:eastAsia="Arial" w:cs="Arial"/>
                <w:sz w:val="22"/>
                <w:szCs w:val="22"/>
                <w:bdr w:val="nil"/>
                <w:lang w:val="de-DE"/>
              </w:rPr>
              <w:t xml:space="preserve"> Fragen in Bezug auf </w:t>
            </w:r>
            <w:r w:rsidR="00E3434C">
              <w:rPr>
                <w:rFonts w:ascii="Arial" w:hAnsi="Arial" w:eastAsia="Arial" w:cs="Arial"/>
                <w:sz w:val="22"/>
                <w:szCs w:val="22"/>
                <w:bdr w:val="nil"/>
                <w:lang w:val="de-DE"/>
              </w:rPr>
              <w:t>Gleichheit</w:t>
            </w:r>
            <w:r>
              <w:rPr>
                <w:rFonts w:ascii="Arial" w:hAnsi="Arial" w:eastAsia="Arial" w:cs="Arial"/>
                <w:sz w:val="22"/>
                <w:szCs w:val="22"/>
                <w:bdr w:val="nil"/>
                <w:lang w:val="de-DE"/>
              </w:rPr>
              <w:t xml:space="preserve"> zu entwickeln und Kooperationsverträge mit diesen Organisationen zu schließen. </w:t>
            </w:r>
            <w:bookmarkEnd w:id="18"/>
          </w:p>
        </w:tc>
      </w:tr>
      <w:tr w:rsidRPr="00C0685F" w:rsidR="00D8651C" w:rsidTr="00C0685F" w14:paraId="0D7510D4" w14:textId="77777777">
        <w:tc>
          <w:tcPr>
            <w:tcW w:w="9640" w:type="dxa"/>
            <w:shd w:val="clear" w:color="auto" w:fill="auto"/>
            <w:tcMar>
              <w:left w:w="108" w:type="dxa"/>
            </w:tcMar>
          </w:tcPr>
          <w:p w:rsidRPr="00C0685F" w:rsidR="002F3939" w:rsidP="008E2E49" w:rsidRDefault="00434F75" w14:paraId="43040D0A" w14:textId="0CDF04D7">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b/>
                <w:sz w:val="22"/>
                <w:lang w:val="de-DE"/>
              </w:rPr>
            </w:pPr>
            <w:r>
              <w:rPr>
                <w:rFonts w:ascii="Arial" w:hAnsi="Arial" w:eastAsia="Arial" w:cs="Arial"/>
                <w:b/>
                <w:bCs/>
                <w:sz w:val="22"/>
                <w:szCs w:val="22"/>
                <w:bdr w:val="nil"/>
                <w:lang w:val="de-DE"/>
              </w:rPr>
              <w:t>Kompetenzen</w:t>
            </w:r>
            <w:r w:rsidR="00EA5BA5">
              <w:rPr>
                <w:rFonts w:ascii="Arial" w:hAnsi="Arial" w:eastAsia="Arial" w:cs="Arial"/>
                <w:b/>
                <w:bCs/>
                <w:sz w:val="22"/>
                <w:szCs w:val="22"/>
                <w:bdr w:val="nil"/>
                <w:lang w:val="de-DE"/>
              </w:rPr>
              <w:t xml:space="preserve"> im Bereich der </w:t>
            </w:r>
            <w:r w:rsidR="0078680C">
              <w:rPr>
                <w:rFonts w:ascii="Arial" w:hAnsi="Arial" w:eastAsia="Arial" w:cs="Arial"/>
                <w:b/>
                <w:bCs/>
                <w:sz w:val="22"/>
                <w:szCs w:val="22"/>
                <w:bdr w:val="nil"/>
                <w:lang w:val="de-DE"/>
              </w:rPr>
              <w:t xml:space="preserve">Unterstützung und </w:t>
            </w:r>
            <w:r w:rsidR="00EA5BA5">
              <w:rPr>
                <w:rFonts w:ascii="Arial" w:hAnsi="Arial" w:eastAsia="Arial" w:cs="Arial"/>
                <w:b/>
                <w:bCs/>
                <w:sz w:val="22"/>
                <w:szCs w:val="22"/>
                <w:bdr w:val="nil"/>
                <w:lang w:val="de-DE"/>
              </w:rPr>
              <w:t>Rechtsd</w:t>
            </w:r>
            <w:r w:rsidR="0078680C">
              <w:rPr>
                <w:rFonts w:ascii="Arial" w:hAnsi="Arial" w:eastAsia="Arial" w:cs="Arial"/>
                <w:b/>
                <w:bCs/>
                <w:sz w:val="22"/>
                <w:szCs w:val="22"/>
                <w:bdr w:val="nil"/>
                <w:lang w:val="de-DE"/>
              </w:rPr>
              <w:t xml:space="preserve">urchsetzung </w:t>
            </w:r>
          </w:p>
        </w:tc>
      </w:tr>
      <w:tr w:rsidRPr="00C0685F" w:rsidR="00D8651C" w:rsidTr="00C0685F" w14:paraId="009D494A" w14:textId="77777777">
        <w:tc>
          <w:tcPr>
            <w:tcW w:w="9640" w:type="dxa"/>
            <w:shd w:val="clear" w:color="auto" w:fill="auto"/>
            <w:tcMar>
              <w:left w:w="108" w:type="dxa"/>
            </w:tcMar>
          </w:tcPr>
          <w:p w:rsidRPr="00C0685F" w:rsidR="002F3939" w:rsidP="005B4190" w:rsidRDefault="0078680C" w14:paraId="5F134079" w14:textId="45098740">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3922940" w:id="19"/>
            <w:r>
              <w:rPr>
                <w:rFonts w:ascii="Arial" w:hAnsi="Arial" w:eastAsia="Arial" w:cs="Arial"/>
                <w:sz w:val="22"/>
                <w:szCs w:val="22"/>
                <w:bdr w:val="nil"/>
                <w:lang w:val="de-DE"/>
              </w:rPr>
              <w:t xml:space="preserve">Die </w:t>
            </w:r>
            <w:r w:rsidRPr="000B04D4" w:rsidR="000B04D4">
              <w:rPr>
                <w:rFonts w:ascii="Arial" w:hAnsi="Arial" w:eastAsia="Arial" w:cs="Arial"/>
                <w:sz w:val="22"/>
                <w:szCs w:val="22"/>
                <w:bdr w:val="nil"/>
                <w:lang w:val="de-DE"/>
              </w:rPr>
              <w:t>Unterstützungs- und Rechtsdurchsetzungs</w:t>
            </w:r>
            <w:r w:rsidR="00434F75">
              <w:rPr>
                <w:rFonts w:ascii="Arial" w:hAnsi="Arial" w:eastAsia="Arial" w:cs="Arial"/>
                <w:sz w:val="22"/>
                <w:szCs w:val="22"/>
                <w:bdr w:val="nil"/>
                <w:lang w:val="de-DE"/>
              </w:rPr>
              <w:t>funktion</w:t>
            </w:r>
            <w:r w:rsidRPr="000B04D4" w:rsidDel="000B04D4" w:rsidR="000B04D4">
              <w:rPr>
                <w:rFonts w:ascii="Arial" w:hAnsi="Arial" w:eastAsia="Arial" w:cs="Arial"/>
                <w:sz w:val="22"/>
                <w:szCs w:val="22"/>
                <w:bdr w:val="nil"/>
                <w:lang w:val="de-DE"/>
              </w:rPr>
              <w:t xml:space="preserve"> </w:t>
            </w:r>
            <w:r w:rsidR="000B04D4">
              <w:rPr>
                <w:rFonts w:ascii="Arial" w:hAnsi="Arial" w:eastAsia="Arial" w:cs="Arial"/>
                <w:sz w:val="22"/>
                <w:szCs w:val="22"/>
                <w:bdr w:val="nil"/>
                <w:lang w:val="de-DE"/>
              </w:rPr>
              <w:t>von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 die </w:t>
            </w:r>
            <w:r w:rsidR="00434F75">
              <w:rPr>
                <w:rFonts w:ascii="Arial" w:hAnsi="Arial" w:eastAsia="Arial" w:cs="Arial"/>
                <w:sz w:val="22"/>
                <w:szCs w:val="22"/>
                <w:bdr w:val="nil"/>
                <w:lang w:val="de-DE"/>
              </w:rPr>
              <w:t>Kompetenzen</w:t>
            </w:r>
            <w:r w:rsidR="000B04D4">
              <w:rPr>
                <w:rFonts w:ascii="Arial" w:hAnsi="Arial" w:eastAsia="Arial" w:cs="Arial"/>
                <w:sz w:val="22"/>
                <w:szCs w:val="22"/>
                <w:bdr w:val="nil"/>
                <w:lang w:val="de-DE"/>
              </w:rPr>
              <w:t xml:space="preserve"> </w:t>
            </w:r>
            <w:r>
              <w:rPr>
                <w:rFonts w:ascii="Arial" w:hAnsi="Arial" w:eastAsia="Arial" w:cs="Arial"/>
                <w:sz w:val="22"/>
                <w:szCs w:val="22"/>
                <w:bdr w:val="nil"/>
                <w:lang w:val="de-DE"/>
              </w:rPr>
              <w:t>einschließen:</w:t>
            </w:r>
            <w:bookmarkEnd w:id="19"/>
          </w:p>
        </w:tc>
      </w:tr>
      <w:tr w:rsidRPr="00C0685F" w:rsidR="00D8651C" w:rsidTr="00C0685F" w14:paraId="0924905F" w14:textId="77777777">
        <w:tc>
          <w:tcPr>
            <w:tcW w:w="9640" w:type="dxa"/>
            <w:shd w:val="clear" w:color="auto" w:fill="auto"/>
            <w:tcMar>
              <w:left w:w="108" w:type="dxa"/>
            </w:tcMar>
          </w:tcPr>
          <w:p w:rsidRPr="00C0685F" w:rsidR="002F3939" w:rsidP="005B4190" w:rsidRDefault="0078680C" w14:paraId="2D113B81" w14:textId="31B56CF2">
            <w:pPr>
              <w:numPr>
                <w:ilvl w:val="0"/>
                <w:numId w:val="4"/>
              </w:numPr>
              <w:tabs>
                <w:tab w:val="clear" w:pos="340"/>
                <w:tab w:val="num" w:pos="743"/>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Beschwerden von Personen entgegenzunehmen, die Diskriminierung oder Intoleranz ausgesetzt sind, und ihnen eine persönliche Unterstützung</w:t>
            </w:r>
            <w:r w:rsidR="00434F75">
              <w:rPr>
                <w:rFonts w:ascii="Arial" w:hAnsi="Arial" w:eastAsia="Arial" w:cs="Arial"/>
                <w:sz w:val="22"/>
                <w:szCs w:val="22"/>
                <w:bdr w:val="nil"/>
                <w:lang w:val="de-DE"/>
              </w:rPr>
              <w:t>,</w:t>
            </w:r>
            <w:r>
              <w:rPr>
                <w:rFonts w:ascii="Arial" w:hAnsi="Arial" w:eastAsia="Arial" w:cs="Arial"/>
                <w:sz w:val="22"/>
                <w:szCs w:val="22"/>
                <w:bdr w:val="nil"/>
                <w:lang w:val="de-DE"/>
              </w:rPr>
              <w:t xml:space="preserve"> rechtliche Beratung und </w:t>
            </w:r>
            <w:r w:rsidR="00434F75">
              <w:rPr>
                <w:rFonts w:ascii="Arial" w:hAnsi="Arial" w:eastAsia="Arial" w:cs="Arial"/>
                <w:sz w:val="22"/>
                <w:szCs w:val="22"/>
                <w:bdr w:val="nil"/>
                <w:lang w:val="de-DE"/>
              </w:rPr>
              <w:t>rechtlichen Beistand zu gewähren</w:t>
            </w:r>
            <w:r>
              <w:rPr>
                <w:rFonts w:ascii="Arial" w:hAnsi="Arial" w:eastAsia="Arial" w:cs="Arial"/>
                <w:sz w:val="22"/>
                <w:szCs w:val="22"/>
                <w:bdr w:val="nil"/>
                <w:lang w:val="de-DE"/>
              </w:rPr>
              <w:t xml:space="preserve">, um ihre Rechte vor Institutionen, </w:t>
            </w:r>
            <w:r w:rsidR="00952CCE">
              <w:rPr>
                <w:rFonts w:ascii="Arial" w:hAnsi="Arial" w:eastAsia="Arial" w:cs="Arial"/>
                <w:sz w:val="22"/>
                <w:szCs w:val="22"/>
                <w:bdr w:val="nil"/>
                <w:lang w:val="de-DE"/>
              </w:rPr>
              <w:t>Entscheidungsinstanz</w:t>
            </w:r>
            <w:r w:rsidR="00434F75">
              <w:rPr>
                <w:rFonts w:ascii="Arial" w:hAnsi="Arial" w:eastAsia="Arial" w:cs="Arial"/>
                <w:sz w:val="22"/>
                <w:szCs w:val="22"/>
                <w:bdr w:val="nil"/>
                <w:lang w:val="de-DE"/>
              </w:rPr>
              <w:t>en</w:t>
            </w:r>
            <w:r>
              <w:rPr>
                <w:rFonts w:ascii="Arial" w:hAnsi="Arial" w:eastAsia="Arial" w:cs="Arial"/>
                <w:sz w:val="22"/>
                <w:szCs w:val="22"/>
                <w:bdr w:val="nil"/>
                <w:lang w:val="de-DE"/>
              </w:rPr>
              <w:t xml:space="preserve"> und Gericht zu </w:t>
            </w:r>
            <w:r w:rsidR="008F4296">
              <w:rPr>
                <w:rFonts w:ascii="Arial" w:hAnsi="Arial" w:eastAsia="Arial" w:cs="Arial"/>
                <w:sz w:val="22"/>
                <w:szCs w:val="22"/>
                <w:bdr w:val="nil"/>
                <w:lang w:val="de-DE"/>
              </w:rPr>
              <w:t>wahren</w:t>
            </w:r>
            <w:r>
              <w:rPr>
                <w:rFonts w:ascii="Arial" w:hAnsi="Arial" w:eastAsia="Arial" w:cs="Arial"/>
                <w:sz w:val="22"/>
                <w:szCs w:val="22"/>
                <w:bdr w:val="nil"/>
                <w:lang w:val="de-DE"/>
              </w:rPr>
              <w:t>.</w:t>
            </w:r>
          </w:p>
        </w:tc>
      </w:tr>
      <w:tr w:rsidRPr="00C0685F" w:rsidR="00D8651C" w:rsidTr="00C0685F" w14:paraId="0E11DED1" w14:textId="77777777">
        <w:tc>
          <w:tcPr>
            <w:tcW w:w="9640" w:type="dxa"/>
            <w:shd w:val="clear" w:color="auto" w:fill="auto"/>
            <w:tcMar>
              <w:left w:w="108" w:type="dxa"/>
            </w:tcMar>
          </w:tcPr>
          <w:p w:rsidRPr="00C0685F" w:rsidR="002F3939" w:rsidP="005B4190" w:rsidRDefault="00B05DF2" w14:paraId="5AC33695" w14:textId="067ACED3">
            <w:pPr>
              <w:numPr>
                <w:ilvl w:val="0"/>
                <w:numId w:val="4"/>
              </w:numPr>
              <w:tabs>
                <w:tab w:val="clear" w:pos="340"/>
                <w:tab w:val="num" w:pos="743"/>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Dort, wo es angemessen ist, </w:t>
            </w:r>
            <w:r w:rsidR="0078680C">
              <w:rPr>
                <w:rFonts w:ascii="Arial" w:hAnsi="Arial" w:eastAsia="Arial" w:cs="Arial"/>
                <w:sz w:val="22"/>
                <w:szCs w:val="22"/>
                <w:bdr w:val="nil"/>
                <w:lang w:val="de-DE"/>
              </w:rPr>
              <w:t>Sch</w:t>
            </w:r>
            <w:r>
              <w:rPr>
                <w:rFonts w:ascii="Arial" w:hAnsi="Arial" w:eastAsia="Arial" w:cs="Arial"/>
                <w:sz w:val="22"/>
                <w:szCs w:val="22"/>
                <w:bdr w:val="nil"/>
                <w:lang w:val="de-DE"/>
              </w:rPr>
              <w:t>lichtungsverfahren</w:t>
            </w:r>
            <w:r w:rsidR="0078680C">
              <w:rPr>
                <w:rFonts w:ascii="Arial" w:hAnsi="Arial" w:eastAsia="Arial" w:cs="Arial"/>
                <w:sz w:val="22"/>
                <w:szCs w:val="22"/>
                <w:bdr w:val="nil"/>
                <w:lang w:val="de-DE"/>
              </w:rPr>
              <w:t xml:space="preserve"> </w:t>
            </w:r>
            <w:r w:rsidR="008F4296">
              <w:rPr>
                <w:rFonts w:ascii="Arial" w:hAnsi="Arial" w:eastAsia="Arial" w:cs="Arial"/>
                <w:sz w:val="22"/>
                <w:szCs w:val="22"/>
                <w:bdr w:val="nil"/>
                <w:lang w:val="de-DE"/>
              </w:rPr>
              <w:t>durchführen</w:t>
            </w:r>
            <w:r w:rsidR="0078680C">
              <w:rPr>
                <w:rFonts w:ascii="Arial" w:hAnsi="Arial" w:eastAsia="Arial" w:cs="Arial"/>
                <w:sz w:val="22"/>
                <w:szCs w:val="22"/>
                <w:bdr w:val="nil"/>
                <w:lang w:val="de-DE"/>
              </w:rPr>
              <w:t xml:space="preserve"> zu können.</w:t>
            </w:r>
          </w:p>
        </w:tc>
      </w:tr>
      <w:tr w:rsidRPr="00C0685F" w:rsidR="00D8651C" w:rsidTr="00C0685F" w14:paraId="619A4207" w14:textId="77777777">
        <w:tc>
          <w:tcPr>
            <w:tcW w:w="9640" w:type="dxa"/>
            <w:shd w:val="clear" w:color="auto" w:fill="auto"/>
            <w:tcMar>
              <w:left w:w="108" w:type="dxa"/>
            </w:tcMar>
          </w:tcPr>
          <w:p w:rsidRPr="00C0685F" w:rsidR="002F3939" w:rsidP="005B4190" w:rsidRDefault="0078680C" w14:paraId="5E9DAA47" w14:textId="305D2C1A">
            <w:pPr>
              <w:numPr>
                <w:ilvl w:val="0"/>
                <w:numId w:val="4"/>
              </w:numPr>
              <w:tabs>
                <w:tab w:val="clear" w:pos="340"/>
                <w:tab w:val="num" w:pos="743"/>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Personen, die Diskriminierung oder Intoleranz ausgesetzt sind, mit deren Zustimmung vor Institutionen,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en</w:t>
            </w:r>
            <w:r w:rsidR="00B05DF2">
              <w:rPr>
                <w:rFonts w:ascii="Arial" w:hAnsi="Arial" w:eastAsia="Arial" w:cs="Arial"/>
                <w:sz w:val="22"/>
                <w:szCs w:val="22"/>
                <w:bdr w:val="nil"/>
                <w:lang w:val="de-DE"/>
              </w:rPr>
              <w:t xml:space="preserve"> </w:t>
            </w:r>
            <w:r>
              <w:rPr>
                <w:rFonts w:ascii="Arial" w:hAnsi="Arial" w:eastAsia="Arial" w:cs="Arial"/>
                <w:sz w:val="22"/>
                <w:szCs w:val="22"/>
                <w:bdr w:val="nil"/>
                <w:lang w:val="de-DE"/>
              </w:rPr>
              <w:t>und bei Gericht zu vertreten.</w:t>
            </w:r>
          </w:p>
        </w:tc>
      </w:tr>
      <w:tr w:rsidRPr="00C0685F" w:rsidR="00D8651C" w:rsidTr="00C0685F" w14:paraId="45965992" w14:textId="77777777">
        <w:tc>
          <w:tcPr>
            <w:tcW w:w="9640" w:type="dxa"/>
            <w:shd w:val="clear" w:color="auto" w:fill="auto"/>
            <w:tcMar>
              <w:left w:w="108" w:type="dxa"/>
            </w:tcMar>
          </w:tcPr>
          <w:p w:rsidRPr="00C0685F" w:rsidR="002F3939" w:rsidP="005B4190" w:rsidRDefault="0078680C" w14:paraId="75E3F762" w14:textId="5D5866FE">
            <w:pPr>
              <w:numPr>
                <w:ilvl w:val="0"/>
                <w:numId w:val="4"/>
              </w:numPr>
              <w:tabs>
                <w:tab w:val="clear" w:pos="340"/>
                <w:tab w:val="num" w:pos="743"/>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Fälle von </w:t>
            </w:r>
            <w:r w:rsidR="00B05DF2">
              <w:rPr>
                <w:rFonts w:ascii="Arial" w:hAnsi="Arial" w:eastAsia="Arial" w:cs="Arial"/>
                <w:sz w:val="22"/>
                <w:szCs w:val="22"/>
                <w:bdr w:val="nil"/>
                <w:lang w:val="de-DE"/>
              </w:rPr>
              <w:t>individueller</w:t>
            </w:r>
            <w:r>
              <w:rPr>
                <w:rFonts w:ascii="Arial" w:hAnsi="Arial" w:eastAsia="Arial" w:cs="Arial"/>
                <w:sz w:val="22"/>
                <w:szCs w:val="22"/>
                <w:bdr w:val="nil"/>
                <w:lang w:val="de-DE"/>
              </w:rPr>
              <w:t xml:space="preserve"> oder struktureller Diskriminierung oder Intoleranz im Namen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vor Institutionen, </w:t>
            </w:r>
            <w:r w:rsidRPr="00952CCE" w:rsidR="00952CCE">
              <w:rPr>
                <w:rFonts w:ascii="Arial" w:hAnsi="Arial" w:eastAsia="Arial" w:cs="Arial"/>
                <w:sz w:val="22"/>
                <w:szCs w:val="22"/>
                <w:bdr w:val="nil"/>
                <w:lang w:val="de-DE"/>
              </w:rPr>
              <w:t>Entscheidungsinstanzen</w:t>
            </w:r>
            <w:r w:rsidR="00B05DF2">
              <w:rPr>
                <w:rFonts w:ascii="Arial" w:hAnsi="Arial" w:eastAsia="Arial" w:cs="Arial"/>
                <w:sz w:val="22"/>
                <w:szCs w:val="22"/>
                <w:bdr w:val="nil"/>
                <w:lang w:val="de-DE"/>
              </w:rPr>
              <w:t xml:space="preserve"> </w:t>
            </w:r>
            <w:r>
              <w:rPr>
                <w:rFonts w:ascii="Arial" w:hAnsi="Arial" w:eastAsia="Arial" w:cs="Arial"/>
                <w:sz w:val="22"/>
                <w:szCs w:val="22"/>
                <w:bdr w:val="nil"/>
                <w:lang w:val="de-DE"/>
              </w:rPr>
              <w:t>und vor Gericht zu bringen.</w:t>
            </w:r>
          </w:p>
        </w:tc>
      </w:tr>
      <w:tr w:rsidRPr="00C0685F" w:rsidR="00D8651C" w:rsidTr="00C0685F" w14:paraId="283A3BA3" w14:textId="77777777">
        <w:tc>
          <w:tcPr>
            <w:tcW w:w="9640" w:type="dxa"/>
            <w:shd w:val="clear" w:color="auto" w:fill="auto"/>
            <w:tcMar>
              <w:left w:w="108" w:type="dxa"/>
            </w:tcMar>
          </w:tcPr>
          <w:p w:rsidRPr="00C0685F" w:rsidR="002F3939" w:rsidP="00534863" w:rsidRDefault="0078680C" w14:paraId="33F71054" w14:textId="09055C90">
            <w:pPr>
              <w:numPr>
                <w:ilvl w:val="0"/>
                <w:numId w:val="4"/>
              </w:numPr>
              <w:tabs>
                <w:tab w:val="clear" w:pos="340"/>
                <w:tab w:val="num" w:pos="743"/>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Als </w:t>
            </w:r>
            <w:r>
              <w:rPr>
                <w:rFonts w:ascii="Arial" w:hAnsi="Arial" w:eastAsia="Arial" w:cs="Arial"/>
                <w:i/>
                <w:iCs/>
                <w:sz w:val="22"/>
                <w:szCs w:val="22"/>
                <w:bdr w:val="nil"/>
                <w:lang w:val="de-DE"/>
              </w:rPr>
              <w:t>amicus curiae,</w:t>
            </w:r>
            <w:r>
              <w:rPr>
                <w:rFonts w:ascii="Arial" w:hAnsi="Arial" w:eastAsia="Arial" w:cs="Arial"/>
                <w:sz w:val="22"/>
                <w:szCs w:val="22"/>
                <w:bdr w:val="nil"/>
                <w:lang w:val="de-DE"/>
              </w:rPr>
              <w:t xml:space="preserve"> Dritte oder Expert</w:t>
            </w:r>
            <w:r w:rsidR="008F4296">
              <w:rPr>
                <w:rFonts w:ascii="Arial" w:hAnsi="Arial" w:eastAsia="Arial" w:cs="Arial"/>
                <w:sz w:val="22"/>
                <w:szCs w:val="22"/>
                <w:bdr w:val="nil"/>
                <w:lang w:val="de-DE"/>
              </w:rPr>
              <w:t>i</w:t>
            </w:r>
            <w:r>
              <w:rPr>
                <w:rFonts w:ascii="Arial" w:hAnsi="Arial" w:eastAsia="Arial" w:cs="Arial"/>
                <w:sz w:val="22"/>
                <w:szCs w:val="22"/>
                <w:bdr w:val="nil"/>
                <w:lang w:val="de-DE"/>
              </w:rPr>
              <w:t xml:space="preserve">n bei Institutionen,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en</w:t>
            </w:r>
            <w:r w:rsidR="00B05DF2">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und bei Gericht </w:t>
            </w:r>
            <w:r w:rsidR="00B05DF2">
              <w:rPr>
                <w:rFonts w:ascii="Arial" w:hAnsi="Arial" w:eastAsia="Arial" w:cs="Arial"/>
                <w:sz w:val="22"/>
                <w:szCs w:val="22"/>
                <w:bdr w:val="nil"/>
                <w:lang w:val="de-DE"/>
              </w:rPr>
              <w:t>zu intervenieren</w:t>
            </w:r>
            <w:r>
              <w:rPr>
                <w:rFonts w:ascii="Arial" w:hAnsi="Arial" w:eastAsia="Arial" w:cs="Arial"/>
                <w:sz w:val="22"/>
                <w:szCs w:val="22"/>
                <w:bdr w:val="nil"/>
                <w:lang w:val="de-DE"/>
              </w:rPr>
              <w:t>.</w:t>
            </w:r>
          </w:p>
        </w:tc>
      </w:tr>
      <w:tr w:rsidRPr="00C0685F" w:rsidR="00D8651C" w:rsidTr="00C0685F" w14:paraId="14A53437" w14:textId="77777777">
        <w:tc>
          <w:tcPr>
            <w:tcW w:w="9640" w:type="dxa"/>
            <w:shd w:val="clear" w:color="auto" w:fill="auto"/>
            <w:tcMar>
              <w:left w:w="108" w:type="dxa"/>
            </w:tcMar>
          </w:tcPr>
          <w:p w:rsidRPr="00C0685F" w:rsidR="002F3939" w:rsidP="00644E41" w:rsidRDefault="0078680C" w14:paraId="5D0E9CE0" w14:textId="370A517B">
            <w:pPr>
              <w:numPr>
                <w:ilvl w:val="0"/>
                <w:numId w:val="4"/>
              </w:numPr>
              <w:tabs>
                <w:tab w:val="clear" w:pos="340"/>
                <w:tab w:val="num" w:pos="743"/>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Die Umsetzung von Entscheidungen von Institutionen,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en</w:t>
            </w:r>
            <w:r w:rsidR="00B05DF2">
              <w:rPr>
                <w:rFonts w:ascii="Arial" w:hAnsi="Arial" w:eastAsia="Arial" w:cs="Arial"/>
                <w:sz w:val="22"/>
                <w:szCs w:val="22"/>
                <w:bdr w:val="nil"/>
                <w:lang w:val="de-DE"/>
              </w:rPr>
              <w:t xml:space="preserve"> </w:t>
            </w:r>
            <w:r>
              <w:rPr>
                <w:rFonts w:ascii="Arial" w:hAnsi="Arial" w:eastAsia="Arial" w:cs="Arial"/>
                <w:sz w:val="22"/>
                <w:szCs w:val="22"/>
                <w:bdr w:val="nil"/>
                <w:lang w:val="de-DE"/>
              </w:rPr>
              <w:t>und Gerichten</w:t>
            </w:r>
            <w:r w:rsidR="00B05DF2">
              <w:rPr>
                <w:rFonts w:ascii="Arial" w:hAnsi="Arial" w:eastAsia="Arial" w:cs="Arial"/>
                <w:sz w:val="22"/>
                <w:szCs w:val="22"/>
                <w:bdr w:val="nil"/>
                <w:lang w:val="de-DE"/>
              </w:rPr>
              <w:t xml:space="preserve"> </w:t>
            </w:r>
            <w:r w:rsidR="008F4296">
              <w:rPr>
                <w:rFonts w:ascii="Arial" w:hAnsi="Arial" w:eastAsia="Arial" w:cs="Arial"/>
                <w:sz w:val="22"/>
                <w:szCs w:val="22"/>
                <w:bdr w:val="nil"/>
                <w:lang w:val="de-DE"/>
              </w:rPr>
              <w:t xml:space="preserve">zu </w:t>
            </w:r>
            <w:r w:rsidR="00B05DF2">
              <w:rPr>
                <w:rFonts w:ascii="Arial" w:hAnsi="Arial" w:eastAsia="Arial" w:cs="Arial"/>
                <w:sz w:val="22"/>
                <w:szCs w:val="22"/>
                <w:bdr w:val="nil"/>
                <w:lang w:val="de-DE"/>
              </w:rPr>
              <w:t>überwachen</w:t>
            </w:r>
            <w:r>
              <w:rPr>
                <w:rFonts w:ascii="Arial" w:hAnsi="Arial" w:eastAsia="Arial" w:cs="Arial"/>
                <w:sz w:val="22"/>
                <w:szCs w:val="22"/>
                <w:bdr w:val="nil"/>
                <w:lang w:val="de-DE"/>
              </w:rPr>
              <w:t xml:space="preserve">, die sich mit </w:t>
            </w:r>
            <w:r w:rsidR="00E3434C">
              <w:rPr>
                <w:rFonts w:ascii="Arial" w:hAnsi="Arial" w:eastAsia="Arial" w:cs="Arial"/>
                <w:sz w:val="22"/>
                <w:szCs w:val="22"/>
                <w:bdr w:val="nil"/>
                <w:lang w:val="de-DE"/>
              </w:rPr>
              <w:t>Gleichheit</w:t>
            </w:r>
            <w:r>
              <w:rPr>
                <w:rFonts w:ascii="Arial" w:hAnsi="Arial" w:eastAsia="Arial" w:cs="Arial"/>
                <w:sz w:val="22"/>
                <w:szCs w:val="22"/>
                <w:bdr w:val="nil"/>
                <w:lang w:val="de-DE"/>
              </w:rPr>
              <w:t xml:space="preserve">, Diskriminierung und Intoleranz befassen. </w:t>
            </w:r>
          </w:p>
        </w:tc>
      </w:tr>
      <w:tr w:rsidRPr="00C0685F" w:rsidR="00D8651C" w:rsidTr="00C0685F" w14:paraId="071275BF" w14:textId="77777777">
        <w:tc>
          <w:tcPr>
            <w:tcW w:w="9640" w:type="dxa"/>
            <w:shd w:val="clear" w:color="auto" w:fill="auto"/>
            <w:tcMar>
              <w:left w:w="108" w:type="dxa"/>
            </w:tcMar>
          </w:tcPr>
          <w:p w:rsidRPr="00C0685F" w:rsidR="002F3939" w:rsidP="002052A3" w:rsidRDefault="00781974" w14:paraId="20D0D89B" w14:textId="5739A2F4">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6587295" w:id="20"/>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das Recht haben, auf der Grundlage von Kriterien, die von ihnen entwickelt und veröffentlicht werden, die Fälle</w:t>
            </w:r>
            <w:r w:rsidR="0073373C">
              <w:rPr>
                <w:rFonts w:ascii="Arial" w:hAnsi="Arial" w:eastAsia="Arial" w:cs="Arial"/>
                <w:sz w:val="22"/>
                <w:szCs w:val="22"/>
                <w:bdr w:val="nil"/>
                <w:lang w:val="de-DE"/>
              </w:rPr>
              <w:t xml:space="preserve"> auszuwählen</w:t>
            </w:r>
            <w:r w:rsidR="0078680C">
              <w:rPr>
                <w:rFonts w:ascii="Arial" w:hAnsi="Arial" w:eastAsia="Arial" w:cs="Arial"/>
                <w:sz w:val="22"/>
                <w:szCs w:val="22"/>
                <w:bdr w:val="nil"/>
                <w:lang w:val="de-DE"/>
              </w:rPr>
              <w:t xml:space="preserve">, die sie </w:t>
            </w:r>
            <w:r w:rsidR="00B05DF2">
              <w:rPr>
                <w:rFonts w:ascii="Arial" w:hAnsi="Arial" w:eastAsia="Arial" w:cs="Arial"/>
                <w:sz w:val="22"/>
                <w:szCs w:val="22"/>
                <w:bdr w:val="nil"/>
                <w:lang w:val="de-DE"/>
              </w:rPr>
              <w:t xml:space="preserve">zur Vertretung und strategischen Rechtsdurchsetzung </w:t>
            </w:r>
            <w:r w:rsidR="0073373C">
              <w:rPr>
                <w:rFonts w:ascii="Arial" w:hAnsi="Arial" w:eastAsia="Arial" w:cs="Arial"/>
                <w:sz w:val="22"/>
                <w:szCs w:val="22"/>
                <w:bdr w:val="nil"/>
                <w:lang w:val="de-DE"/>
              </w:rPr>
              <w:t>annehmen</w:t>
            </w:r>
            <w:r w:rsidR="008F4296">
              <w:rPr>
                <w:rFonts w:ascii="Arial" w:hAnsi="Arial" w:eastAsia="Arial" w:cs="Arial"/>
                <w:sz w:val="22"/>
                <w:szCs w:val="22"/>
                <w:bdr w:val="nil"/>
                <w:lang w:val="de-DE"/>
              </w:rPr>
              <w:t>,</w:t>
            </w:r>
            <w:r w:rsidR="0073373C">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sowie die </w:t>
            </w:r>
            <w:r w:rsidR="0073373C">
              <w:rPr>
                <w:rFonts w:ascii="Arial" w:hAnsi="Arial" w:eastAsia="Arial" w:cs="Arial"/>
                <w:sz w:val="22"/>
                <w:szCs w:val="22"/>
                <w:bdr w:val="nil"/>
                <w:lang w:val="de-DE"/>
              </w:rPr>
              <w:t>Verfahren</w:t>
            </w:r>
            <w:r w:rsidR="008F4296">
              <w:rPr>
                <w:rFonts w:ascii="Arial" w:hAnsi="Arial" w:eastAsia="Arial" w:cs="Arial"/>
                <w:sz w:val="22"/>
                <w:szCs w:val="22"/>
                <w:bdr w:val="nil"/>
                <w:lang w:val="de-DE"/>
              </w:rPr>
              <w:t>sweisen</w:t>
            </w:r>
            <w:r w:rsidR="0073373C">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auszuwählen, </w:t>
            </w:r>
            <w:r w:rsidR="008F4296">
              <w:rPr>
                <w:rFonts w:ascii="Arial" w:hAnsi="Arial" w:eastAsia="Arial" w:cs="Arial"/>
                <w:sz w:val="22"/>
                <w:szCs w:val="22"/>
                <w:bdr w:val="nil"/>
                <w:lang w:val="de-DE"/>
              </w:rPr>
              <w:t>mit</w:t>
            </w:r>
            <w:r w:rsidR="0078680C">
              <w:rPr>
                <w:rFonts w:ascii="Arial" w:hAnsi="Arial" w:eastAsia="Arial" w:cs="Arial"/>
                <w:sz w:val="22"/>
                <w:szCs w:val="22"/>
                <w:bdr w:val="nil"/>
                <w:lang w:val="de-DE"/>
              </w:rPr>
              <w:t xml:space="preserve"> de</w:t>
            </w:r>
            <w:r w:rsidR="008F4296">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sie die Rechte von Menschen zu sichern suchen, die </w:t>
            </w:r>
            <w:r w:rsidR="0073373C">
              <w:rPr>
                <w:rFonts w:ascii="Arial" w:hAnsi="Arial" w:eastAsia="Arial" w:cs="Arial"/>
                <w:sz w:val="22"/>
                <w:szCs w:val="22"/>
                <w:bdr w:val="nil"/>
                <w:lang w:val="de-DE"/>
              </w:rPr>
              <w:t>individueller</w:t>
            </w:r>
            <w:r w:rsidR="0078680C">
              <w:rPr>
                <w:rFonts w:ascii="Arial" w:hAnsi="Arial" w:eastAsia="Arial" w:cs="Arial"/>
                <w:sz w:val="22"/>
                <w:szCs w:val="22"/>
                <w:bdr w:val="nil"/>
                <w:lang w:val="de-DE"/>
              </w:rPr>
              <w:t xml:space="preserve"> oder struktureller Diskriminierung ausgesetzt sind.</w:t>
            </w:r>
            <w:bookmarkEnd w:id="20"/>
          </w:p>
        </w:tc>
      </w:tr>
      <w:tr w:rsidRPr="00C0685F" w:rsidR="00D8651C" w:rsidTr="00C0685F" w14:paraId="16F8F768" w14:textId="77777777">
        <w:tc>
          <w:tcPr>
            <w:tcW w:w="9640" w:type="dxa"/>
            <w:shd w:val="clear" w:color="auto" w:fill="auto"/>
            <w:tcMar>
              <w:left w:w="108" w:type="dxa"/>
            </w:tcMar>
          </w:tcPr>
          <w:p w:rsidRPr="00C0685F" w:rsidR="002F3939" w:rsidP="00644E41" w:rsidRDefault="0078680C" w14:paraId="6A3BE625" w14:textId="6FC8A021">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6587312" w:id="21"/>
            <w:r>
              <w:rPr>
                <w:rFonts w:ascii="Arial" w:hAnsi="Arial" w:eastAsia="Arial" w:cs="Arial"/>
                <w:sz w:val="22"/>
                <w:szCs w:val="22"/>
                <w:bdr w:val="nil"/>
                <w:lang w:val="de-DE"/>
              </w:rPr>
              <w:t xml:space="preserve">Die Mitgliedstaaten sollten sicherstellen, dass es ein System </w:t>
            </w:r>
            <w:r w:rsidR="0073373C">
              <w:rPr>
                <w:rFonts w:ascii="Arial" w:hAnsi="Arial" w:eastAsia="Arial" w:cs="Arial"/>
                <w:sz w:val="22"/>
                <w:szCs w:val="22"/>
                <w:bdr w:val="nil"/>
                <w:lang w:val="de-DE"/>
              </w:rPr>
              <w:t xml:space="preserve">dafür </w:t>
            </w:r>
            <w:r>
              <w:rPr>
                <w:rFonts w:ascii="Arial" w:hAnsi="Arial" w:eastAsia="Arial" w:cs="Arial"/>
                <w:sz w:val="22"/>
                <w:szCs w:val="22"/>
                <w:bdr w:val="nil"/>
                <w:lang w:val="de-DE"/>
              </w:rPr>
              <w:t xml:space="preserve">gibt, </w:t>
            </w:r>
            <w:r w:rsidR="0073373C">
              <w:rPr>
                <w:rFonts w:ascii="Arial" w:hAnsi="Arial" w:eastAsia="Arial" w:cs="Arial"/>
                <w:sz w:val="22"/>
                <w:szCs w:val="22"/>
                <w:bdr w:val="nil"/>
                <w:lang w:val="de-DE"/>
              </w:rPr>
              <w:t>dass</w:t>
            </w:r>
            <w:r>
              <w:rPr>
                <w:rFonts w:ascii="Arial" w:hAnsi="Arial" w:eastAsia="Arial" w:cs="Arial"/>
                <w:sz w:val="22"/>
                <w:szCs w:val="22"/>
                <w:bdr w:val="nil"/>
                <w:lang w:val="de-DE"/>
              </w:rPr>
              <w:t xml:space="preserve"> Menschen, die Diskriminierung oder Intoleranz ausgesetzt sind, keine Prozesskosten</w:t>
            </w:r>
            <w:r w:rsidR="0073373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Verwaltungsgebühren oder </w:t>
            </w:r>
            <w:r w:rsidR="0073373C">
              <w:rPr>
                <w:rFonts w:ascii="Arial" w:hAnsi="Arial" w:eastAsia="Arial" w:cs="Arial"/>
                <w:sz w:val="22"/>
                <w:szCs w:val="22"/>
                <w:bdr w:val="nil"/>
                <w:lang w:val="de-DE"/>
              </w:rPr>
              <w:t>Rechtsv</w:t>
            </w:r>
            <w:r>
              <w:rPr>
                <w:rFonts w:ascii="Arial" w:hAnsi="Arial" w:eastAsia="Arial" w:cs="Arial"/>
                <w:sz w:val="22"/>
                <w:szCs w:val="22"/>
                <w:bdr w:val="nil"/>
                <w:lang w:val="de-DE"/>
              </w:rPr>
              <w:t>ertretungs</w:t>
            </w:r>
            <w:r w:rsidR="008F4296">
              <w:rPr>
                <w:rFonts w:ascii="Arial" w:hAnsi="Arial" w:eastAsia="Arial" w:cs="Arial"/>
                <w:sz w:val="22"/>
                <w:szCs w:val="22"/>
                <w:bdr w:val="nil"/>
                <w:lang w:val="de-DE"/>
              </w:rPr>
              <w:t>gebühren</w:t>
            </w:r>
            <w:r>
              <w:rPr>
                <w:rFonts w:ascii="Arial" w:hAnsi="Arial" w:eastAsia="Arial" w:cs="Arial"/>
                <w:sz w:val="22"/>
                <w:szCs w:val="22"/>
                <w:bdr w:val="nil"/>
                <w:lang w:val="de-DE"/>
              </w:rPr>
              <w:t xml:space="preserve"> tragen müssen, insbesondere in Fällen struktureller Diskriminierung und </w:t>
            </w:r>
            <w:r w:rsidR="0073373C">
              <w:rPr>
                <w:rFonts w:ascii="Arial" w:hAnsi="Arial" w:eastAsia="Arial" w:cs="Arial"/>
                <w:sz w:val="22"/>
                <w:szCs w:val="22"/>
                <w:bdr w:val="nil"/>
                <w:lang w:val="de-DE"/>
              </w:rPr>
              <w:t xml:space="preserve">in Fällen, die zur </w:t>
            </w:r>
            <w:r>
              <w:rPr>
                <w:rFonts w:ascii="Arial" w:hAnsi="Arial" w:eastAsia="Arial" w:cs="Arial"/>
                <w:sz w:val="22"/>
                <w:szCs w:val="22"/>
                <w:bdr w:val="nil"/>
                <w:lang w:val="de-DE"/>
              </w:rPr>
              <w:t>strategische</w:t>
            </w:r>
            <w:r w:rsidR="0073373C">
              <w:rPr>
                <w:rFonts w:ascii="Arial" w:hAnsi="Arial" w:eastAsia="Arial" w:cs="Arial"/>
                <w:sz w:val="22"/>
                <w:szCs w:val="22"/>
                <w:bdr w:val="nil"/>
                <w:lang w:val="de-DE"/>
              </w:rPr>
              <w:t>n</w:t>
            </w:r>
            <w:r>
              <w:rPr>
                <w:rFonts w:ascii="Arial" w:hAnsi="Arial" w:eastAsia="Arial" w:cs="Arial"/>
                <w:sz w:val="22"/>
                <w:szCs w:val="22"/>
                <w:bdr w:val="nil"/>
                <w:lang w:val="de-DE"/>
              </w:rPr>
              <w:t xml:space="preserve"> </w:t>
            </w:r>
            <w:r w:rsidR="0073373C">
              <w:rPr>
                <w:rFonts w:ascii="Arial" w:hAnsi="Arial" w:eastAsia="Arial" w:cs="Arial"/>
                <w:sz w:val="22"/>
                <w:szCs w:val="22"/>
                <w:bdr w:val="nil"/>
                <w:lang w:val="de-DE"/>
              </w:rPr>
              <w:t>Rechtsdurchsetzung</w:t>
            </w:r>
            <w:r>
              <w:rPr>
                <w:rFonts w:ascii="Arial" w:hAnsi="Arial" w:eastAsia="Arial" w:cs="Arial"/>
                <w:sz w:val="22"/>
                <w:szCs w:val="22"/>
                <w:bdr w:val="nil"/>
                <w:lang w:val="de-DE"/>
              </w:rPr>
              <w:t xml:space="preserve"> übernommen werden.</w:t>
            </w:r>
            <w:bookmarkEnd w:id="21"/>
          </w:p>
        </w:tc>
      </w:tr>
      <w:tr w:rsidRPr="00C0685F" w:rsidR="00D8651C" w:rsidTr="00C0685F" w14:paraId="46C07864" w14:textId="77777777">
        <w:tc>
          <w:tcPr>
            <w:tcW w:w="9640" w:type="dxa"/>
            <w:shd w:val="clear" w:color="auto" w:fill="auto"/>
            <w:tcMar>
              <w:left w:w="108" w:type="dxa"/>
            </w:tcMar>
          </w:tcPr>
          <w:p w:rsidRPr="00C0685F" w:rsidR="002F3939" w:rsidP="002052A3" w:rsidRDefault="00434F75" w14:paraId="6837FBB7" w14:textId="7EB3FF3C">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de-DE"/>
              </w:rPr>
            </w:pPr>
            <w:r>
              <w:rPr>
                <w:rFonts w:ascii="Arial" w:hAnsi="Arial" w:eastAsia="Arial" w:cs="Arial"/>
                <w:b/>
                <w:bCs/>
                <w:sz w:val="22"/>
                <w:szCs w:val="22"/>
                <w:bdr w:val="nil"/>
                <w:lang w:val="de-DE"/>
              </w:rPr>
              <w:t>Kompetenzen</w:t>
            </w:r>
            <w:r w:rsidR="000B04D4">
              <w:rPr>
                <w:rFonts w:ascii="Arial" w:hAnsi="Arial" w:eastAsia="Arial" w:cs="Arial"/>
                <w:b/>
                <w:bCs/>
                <w:sz w:val="22"/>
                <w:szCs w:val="22"/>
                <w:bdr w:val="nil"/>
                <w:lang w:val="de-DE"/>
              </w:rPr>
              <w:t xml:space="preserve"> im Bereich der </w:t>
            </w:r>
            <w:r w:rsidR="0078680C">
              <w:rPr>
                <w:rFonts w:ascii="Arial" w:hAnsi="Arial" w:eastAsia="Arial" w:cs="Arial"/>
                <w:b/>
                <w:bCs/>
                <w:sz w:val="22"/>
                <w:szCs w:val="22"/>
                <w:bdr w:val="nil"/>
                <w:lang w:val="de-DE"/>
              </w:rPr>
              <w:t>Entscheidungs</w:t>
            </w:r>
            <w:r>
              <w:rPr>
                <w:rFonts w:ascii="Arial" w:hAnsi="Arial" w:eastAsia="Arial" w:cs="Arial"/>
                <w:b/>
                <w:bCs/>
                <w:sz w:val="22"/>
                <w:szCs w:val="22"/>
                <w:bdr w:val="nil"/>
                <w:lang w:val="de-DE"/>
              </w:rPr>
              <w:t>funktion</w:t>
            </w:r>
          </w:p>
        </w:tc>
      </w:tr>
      <w:tr w:rsidRPr="00C0685F" w:rsidR="00D8651C" w:rsidTr="00C0685F" w14:paraId="450329C6" w14:textId="77777777">
        <w:tc>
          <w:tcPr>
            <w:tcW w:w="9640" w:type="dxa"/>
            <w:shd w:val="clear" w:color="auto" w:fill="auto"/>
            <w:tcMar>
              <w:left w:w="108" w:type="dxa"/>
            </w:tcMar>
          </w:tcPr>
          <w:p w:rsidRPr="00C0685F" w:rsidR="002F3939" w:rsidP="002052A3" w:rsidRDefault="000B04D4" w14:paraId="60D77728" w14:textId="559A73D5">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74315831" w:id="22"/>
            <w:r>
              <w:rPr>
                <w:rFonts w:ascii="Arial" w:hAnsi="Arial" w:eastAsia="Arial" w:cs="Arial"/>
                <w:sz w:val="22"/>
                <w:szCs w:val="22"/>
                <w:bdr w:val="nil"/>
                <w:lang w:val="de-DE"/>
              </w:rPr>
              <w:t>Wenn die Entscheidungs</w:t>
            </w:r>
            <w:r w:rsidR="00434F75">
              <w:rPr>
                <w:rFonts w:ascii="Arial" w:hAnsi="Arial" w:eastAsia="Arial" w:cs="Arial"/>
                <w:sz w:val="22"/>
                <w:szCs w:val="22"/>
                <w:bdr w:val="nil"/>
                <w:lang w:val="de-DE"/>
              </w:rPr>
              <w:t>funktion</w:t>
            </w:r>
            <w:r>
              <w:rPr>
                <w:rFonts w:ascii="Arial" w:hAnsi="Arial" w:eastAsia="Arial" w:cs="Arial"/>
                <w:sz w:val="22"/>
                <w:szCs w:val="22"/>
                <w:bdr w:val="nil"/>
                <w:lang w:val="de-DE"/>
              </w:rPr>
              <w:t xml:space="preserve"> auf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übertragen wurde, sollte </w:t>
            </w:r>
            <w:r w:rsidR="00434F75">
              <w:rPr>
                <w:rFonts w:ascii="Arial" w:hAnsi="Arial" w:eastAsia="Arial" w:cs="Arial"/>
                <w:sz w:val="22"/>
                <w:szCs w:val="22"/>
                <w:bdr w:val="nil"/>
                <w:lang w:val="de-DE"/>
              </w:rPr>
              <w:t xml:space="preserve">dies </w:t>
            </w:r>
            <w:r w:rsidR="0078680C">
              <w:rPr>
                <w:rFonts w:ascii="Arial" w:hAnsi="Arial" w:eastAsia="Arial" w:cs="Arial"/>
                <w:sz w:val="22"/>
                <w:szCs w:val="22"/>
                <w:bdr w:val="nil"/>
                <w:lang w:val="de-DE"/>
              </w:rPr>
              <w:t>die</w:t>
            </w:r>
            <w:r>
              <w:rPr>
                <w:rFonts w:ascii="Arial" w:hAnsi="Arial" w:eastAsia="Arial" w:cs="Arial"/>
                <w:sz w:val="22"/>
                <w:szCs w:val="22"/>
                <w:bdr w:val="nil"/>
                <w:lang w:val="de-DE"/>
              </w:rPr>
              <w:t xml:space="preserve"> </w:t>
            </w:r>
            <w:r w:rsidR="0073373C">
              <w:rPr>
                <w:rFonts w:ascii="Arial" w:hAnsi="Arial" w:eastAsia="Arial" w:cs="Arial"/>
                <w:sz w:val="22"/>
                <w:szCs w:val="22"/>
                <w:bdr w:val="nil"/>
                <w:lang w:val="de-DE"/>
              </w:rPr>
              <w:t>Kompetenzen</w:t>
            </w:r>
            <w:r w:rsidR="0078680C">
              <w:rPr>
                <w:rFonts w:ascii="Arial" w:hAnsi="Arial" w:eastAsia="Arial" w:cs="Arial"/>
                <w:sz w:val="22"/>
                <w:szCs w:val="22"/>
                <w:bdr w:val="nil"/>
                <w:lang w:val="de-DE"/>
              </w:rPr>
              <w:t xml:space="preserve"> einschließen:</w:t>
            </w:r>
            <w:bookmarkEnd w:id="22"/>
          </w:p>
        </w:tc>
      </w:tr>
      <w:tr w:rsidRPr="00C0685F" w:rsidR="00D8651C" w:rsidTr="00C0685F" w14:paraId="65AA92C5" w14:textId="77777777">
        <w:trPr>
          <w:trHeight w:val="1002"/>
        </w:trPr>
        <w:tc>
          <w:tcPr>
            <w:tcW w:w="9640" w:type="dxa"/>
            <w:shd w:val="clear" w:color="auto" w:fill="auto"/>
            <w:tcMar>
              <w:left w:w="108" w:type="dxa"/>
            </w:tcMar>
          </w:tcPr>
          <w:p w:rsidRPr="00C0685F" w:rsidR="002F3939" w:rsidP="004722FD" w:rsidRDefault="0078680C" w14:paraId="25666E84" w14:textId="19DB724D">
            <w:pPr>
              <w:numPr>
                <w:ilvl w:val="0"/>
                <w:numId w:val="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Einzel- und Sammelbeschwerden entgegenzunehmen, zu prüfen, </w:t>
            </w:r>
            <w:r w:rsidR="0073373C">
              <w:rPr>
                <w:rFonts w:ascii="Arial" w:hAnsi="Arial" w:eastAsia="Arial" w:cs="Arial"/>
                <w:sz w:val="22"/>
                <w:szCs w:val="22"/>
                <w:bdr w:val="nil"/>
                <w:lang w:val="de-DE"/>
              </w:rPr>
              <w:t xml:space="preserve">zu verhandeln </w:t>
            </w:r>
            <w:r>
              <w:rPr>
                <w:rFonts w:ascii="Arial" w:hAnsi="Arial" w:eastAsia="Arial" w:cs="Arial"/>
                <w:sz w:val="22"/>
                <w:szCs w:val="22"/>
                <w:bdr w:val="nil"/>
                <w:lang w:val="de-DE"/>
              </w:rPr>
              <w:t xml:space="preserve">und zu schlichten und über diese Beschwerden auf Grundlage der </w:t>
            </w:r>
            <w:r w:rsidR="00285C69">
              <w:rPr>
                <w:rFonts w:ascii="Arial" w:hAnsi="Arial" w:eastAsia="Arial" w:cs="Arial"/>
                <w:sz w:val="22"/>
                <w:szCs w:val="22"/>
                <w:bdr w:val="nil"/>
                <w:lang w:val="de-DE"/>
              </w:rPr>
              <w:t>einschlägigen Rechtsvorschriften</w:t>
            </w:r>
            <w:r>
              <w:rPr>
                <w:rFonts w:ascii="Arial" w:hAnsi="Arial" w:eastAsia="Arial" w:cs="Arial"/>
                <w:sz w:val="22"/>
                <w:szCs w:val="22"/>
                <w:bdr w:val="nil"/>
                <w:lang w:val="de-DE"/>
              </w:rPr>
              <w:t xml:space="preserve"> einschließlich der Bestimmungen zur geteilten Beweislast</w:t>
            </w:r>
            <w:r w:rsidR="00285C69">
              <w:rPr>
                <w:rFonts w:ascii="Arial" w:hAnsi="Arial" w:eastAsia="Arial" w:cs="Arial"/>
                <w:sz w:val="22"/>
                <w:szCs w:val="22"/>
                <w:bdr w:val="nil"/>
                <w:lang w:val="de-DE"/>
              </w:rPr>
              <w:t xml:space="preserve"> zu entscheiden</w:t>
            </w:r>
            <w:r>
              <w:rPr>
                <w:rFonts w:ascii="Arial" w:hAnsi="Arial" w:eastAsia="Arial" w:cs="Arial"/>
                <w:sz w:val="22"/>
                <w:szCs w:val="22"/>
                <w:bdr w:val="nil"/>
                <w:lang w:val="de-DE"/>
              </w:rPr>
              <w:t>.</w:t>
            </w:r>
          </w:p>
        </w:tc>
      </w:tr>
      <w:tr w:rsidRPr="00C0685F" w:rsidR="00D8651C" w:rsidTr="00C0685F" w14:paraId="75DDE395" w14:textId="77777777">
        <w:tc>
          <w:tcPr>
            <w:tcW w:w="9640" w:type="dxa"/>
            <w:shd w:val="clear" w:color="auto" w:fill="auto"/>
            <w:tcMar>
              <w:left w:w="108" w:type="dxa"/>
            </w:tcMar>
          </w:tcPr>
          <w:p w:rsidRPr="00C0685F" w:rsidR="002F3939" w:rsidP="005B4190" w:rsidRDefault="0078680C" w14:paraId="5BCD8115" w14:textId="77777777">
            <w:pPr>
              <w:numPr>
                <w:ilvl w:val="0"/>
                <w:numId w:val="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Zu entscheiden, ob eine Verletzung zivil- oder verwaltungsrechtlicher Antidiskriminierungsgesetze vorliegt.</w:t>
            </w:r>
          </w:p>
        </w:tc>
      </w:tr>
      <w:tr w:rsidRPr="00C0685F" w:rsidR="00D8651C" w:rsidTr="00C0685F" w14:paraId="6E748AC7" w14:textId="77777777">
        <w:tc>
          <w:tcPr>
            <w:tcW w:w="9640" w:type="dxa"/>
            <w:shd w:val="clear" w:color="auto" w:fill="auto"/>
            <w:tcMar>
              <w:left w:w="108" w:type="dxa"/>
            </w:tcMar>
          </w:tcPr>
          <w:p w:rsidRPr="00C0685F" w:rsidR="002F3939" w:rsidP="004722FD" w:rsidRDefault="0078680C" w14:paraId="5C70CCFA" w14:textId="334FA22F">
            <w:pPr>
              <w:numPr>
                <w:ilvl w:val="0"/>
                <w:numId w:val="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Rechtsverbindliche Entscheidungen </w:t>
            </w:r>
            <w:r w:rsidR="00285C69">
              <w:rPr>
                <w:rFonts w:ascii="Arial" w:hAnsi="Arial" w:eastAsia="Arial" w:cs="Arial"/>
                <w:sz w:val="22"/>
                <w:szCs w:val="22"/>
                <w:bdr w:val="nil"/>
                <w:lang w:val="de-DE"/>
              </w:rPr>
              <w:t>zu erlassen</w:t>
            </w:r>
            <w:r>
              <w:rPr>
                <w:rFonts w:ascii="Arial" w:hAnsi="Arial" w:eastAsia="Arial" w:cs="Arial"/>
                <w:sz w:val="22"/>
                <w:szCs w:val="22"/>
                <w:bdr w:val="nil"/>
                <w:lang w:val="de-DE"/>
              </w:rPr>
              <w:t xml:space="preserve">, die Maßnahmen </w:t>
            </w:r>
            <w:r w:rsidR="00285C69">
              <w:rPr>
                <w:rFonts w:ascii="Arial" w:hAnsi="Arial" w:eastAsia="Arial" w:cs="Arial"/>
                <w:sz w:val="22"/>
                <w:szCs w:val="22"/>
                <w:bdr w:val="nil"/>
                <w:lang w:val="de-DE"/>
              </w:rPr>
              <w:t xml:space="preserve">zur Beendigung von Diskriminierung, zur Erreichung voller </w:t>
            </w:r>
            <w:r>
              <w:rPr>
                <w:rFonts w:ascii="Arial" w:hAnsi="Arial" w:eastAsia="Arial" w:cs="Arial"/>
                <w:sz w:val="22"/>
                <w:szCs w:val="22"/>
                <w:bdr w:val="nil"/>
                <w:lang w:val="de-DE"/>
              </w:rPr>
              <w:t>Gleich</w:t>
            </w:r>
            <w:r w:rsidR="008F4296">
              <w:rPr>
                <w:rFonts w:ascii="Arial" w:hAnsi="Arial" w:eastAsia="Arial" w:cs="Arial"/>
                <w:sz w:val="22"/>
                <w:szCs w:val="22"/>
                <w:bdr w:val="nil"/>
                <w:lang w:val="de-DE"/>
              </w:rPr>
              <w:t xml:space="preserve">heit </w:t>
            </w:r>
            <w:r>
              <w:rPr>
                <w:rFonts w:ascii="Arial" w:hAnsi="Arial" w:eastAsia="Arial" w:cs="Arial"/>
                <w:sz w:val="22"/>
                <w:szCs w:val="22"/>
                <w:bdr w:val="nil"/>
                <w:lang w:val="de-DE"/>
              </w:rPr>
              <w:t xml:space="preserve">und </w:t>
            </w:r>
            <w:r w:rsidR="00285C69">
              <w:rPr>
                <w:rFonts w:ascii="Arial" w:hAnsi="Arial" w:eastAsia="Arial" w:cs="Arial"/>
                <w:sz w:val="22"/>
                <w:szCs w:val="22"/>
                <w:bdr w:val="nil"/>
                <w:lang w:val="de-DE"/>
              </w:rPr>
              <w:t xml:space="preserve">zur Abwendung </w:t>
            </w:r>
            <w:r>
              <w:rPr>
                <w:rFonts w:ascii="Arial" w:hAnsi="Arial" w:eastAsia="Arial" w:cs="Arial"/>
                <w:sz w:val="22"/>
                <w:szCs w:val="22"/>
                <w:bdr w:val="nil"/>
                <w:lang w:val="de-DE"/>
              </w:rPr>
              <w:t>zukünftige</w:t>
            </w:r>
            <w:r w:rsidR="00285C69">
              <w:rPr>
                <w:rFonts w:ascii="Arial" w:hAnsi="Arial" w:eastAsia="Arial" w:cs="Arial"/>
                <w:sz w:val="22"/>
                <w:szCs w:val="22"/>
                <w:bdr w:val="nil"/>
                <w:lang w:val="de-DE"/>
              </w:rPr>
              <w:t>r</w:t>
            </w:r>
            <w:r>
              <w:rPr>
                <w:rFonts w:ascii="Arial" w:hAnsi="Arial" w:eastAsia="Arial" w:cs="Arial"/>
                <w:sz w:val="22"/>
                <w:szCs w:val="22"/>
                <w:bdr w:val="nil"/>
                <w:lang w:val="de-DE"/>
              </w:rPr>
              <w:t xml:space="preserve"> Diskriminierung </w:t>
            </w:r>
            <w:r w:rsidR="00285C69">
              <w:rPr>
                <w:rFonts w:ascii="Arial" w:hAnsi="Arial" w:eastAsia="Arial" w:cs="Arial"/>
                <w:sz w:val="22"/>
                <w:szCs w:val="22"/>
                <w:bdr w:val="nil"/>
                <w:lang w:val="de-DE"/>
              </w:rPr>
              <w:t>vorschreiben</w:t>
            </w:r>
            <w:r>
              <w:rPr>
                <w:rFonts w:ascii="Arial" w:hAnsi="Arial" w:eastAsia="Arial" w:cs="Arial"/>
                <w:sz w:val="22"/>
                <w:szCs w:val="22"/>
                <w:bdr w:val="nil"/>
                <w:lang w:val="de-DE"/>
              </w:rPr>
              <w:t xml:space="preserve">, und </w:t>
            </w:r>
            <w:r w:rsidR="00285C69">
              <w:rPr>
                <w:rFonts w:ascii="Arial" w:hAnsi="Arial" w:eastAsia="Arial" w:cs="Arial"/>
                <w:sz w:val="22"/>
                <w:szCs w:val="22"/>
                <w:bdr w:val="nil"/>
                <w:lang w:val="de-DE"/>
              </w:rPr>
              <w:t>effektive</w:t>
            </w:r>
            <w:r>
              <w:rPr>
                <w:rFonts w:ascii="Arial" w:hAnsi="Arial" w:eastAsia="Arial" w:cs="Arial"/>
                <w:sz w:val="22"/>
                <w:szCs w:val="22"/>
                <w:bdr w:val="nil"/>
                <w:lang w:val="de-DE"/>
              </w:rPr>
              <w:t xml:space="preserve">, verhältnismäßige und abschreckende </w:t>
            </w:r>
            <w:r>
              <w:rPr>
                <w:rFonts w:ascii="Arial" w:hAnsi="Arial" w:eastAsia="Arial" w:cs="Arial"/>
                <w:sz w:val="22"/>
                <w:szCs w:val="22"/>
                <w:bdr w:val="nil"/>
                <w:lang w:val="de-DE"/>
              </w:rPr>
              <w:lastRenderedPageBreak/>
              <w:t xml:space="preserve">Sanktionen zu verhängen, einschließlich </w:t>
            </w:r>
            <w:r w:rsidR="00285C69">
              <w:rPr>
                <w:rFonts w:ascii="Arial" w:hAnsi="Arial" w:eastAsia="Arial" w:cs="Arial"/>
                <w:sz w:val="22"/>
                <w:szCs w:val="22"/>
                <w:bdr w:val="nil"/>
                <w:lang w:val="de-DE"/>
              </w:rPr>
              <w:t xml:space="preserve">der </w:t>
            </w:r>
            <w:r>
              <w:rPr>
                <w:rFonts w:ascii="Arial" w:hAnsi="Arial" w:eastAsia="Arial" w:cs="Arial"/>
                <w:sz w:val="22"/>
                <w:szCs w:val="22"/>
                <w:bdr w:val="nil"/>
                <w:lang w:val="de-DE"/>
              </w:rPr>
              <w:t xml:space="preserve">Zahlung einer Entschädigung für materielle und immaterielle Schäden, </w:t>
            </w:r>
            <w:r w:rsidR="00285C69">
              <w:rPr>
                <w:rFonts w:ascii="Arial" w:hAnsi="Arial" w:eastAsia="Arial" w:cs="Arial"/>
                <w:sz w:val="22"/>
                <w:szCs w:val="22"/>
                <w:bdr w:val="nil"/>
                <w:lang w:val="de-DE"/>
              </w:rPr>
              <w:t xml:space="preserve">der Verhängung von </w:t>
            </w:r>
            <w:r>
              <w:rPr>
                <w:rFonts w:ascii="Arial" w:hAnsi="Arial" w:eastAsia="Arial" w:cs="Arial"/>
                <w:sz w:val="22"/>
                <w:szCs w:val="22"/>
                <w:bdr w:val="nil"/>
                <w:lang w:val="de-DE"/>
              </w:rPr>
              <w:t xml:space="preserve">Bußgeldern und der Veröffentlichung der Entscheidung sowie des Namens des Täters. </w:t>
            </w:r>
          </w:p>
        </w:tc>
      </w:tr>
      <w:tr w:rsidRPr="00046FAE" w:rsidR="00D8651C" w:rsidTr="00C0685F" w14:paraId="1363B9DB" w14:textId="77777777">
        <w:tc>
          <w:tcPr>
            <w:tcW w:w="9640" w:type="dxa"/>
            <w:shd w:val="clear" w:color="auto" w:fill="auto"/>
            <w:tcMar>
              <w:left w:w="108" w:type="dxa"/>
            </w:tcMar>
          </w:tcPr>
          <w:p w:rsidRPr="00C0685F" w:rsidR="002F3939" w:rsidP="004722FD" w:rsidRDefault="0078680C" w14:paraId="07FCED15" w14:textId="110DB58D">
            <w:pPr>
              <w:numPr>
                <w:ilvl w:val="0"/>
                <w:numId w:val="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lastRenderedPageBreak/>
              <w:t xml:space="preserve">Die </w:t>
            </w:r>
            <w:r w:rsidR="001A74A8">
              <w:rPr>
                <w:rFonts w:ascii="Arial" w:hAnsi="Arial" w:eastAsia="Arial" w:cs="Arial"/>
                <w:sz w:val="22"/>
                <w:szCs w:val="22"/>
                <w:bdr w:val="nil"/>
                <w:lang w:val="de-DE"/>
              </w:rPr>
              <w:t xml:space="preserve">Vollstreckung </w:t>
            </w:r>
            <w:r>
              <w:rPr>
                <w:rFonts w:ascii="Arial" w:hAnsi="Arial" w:eastAsia="Arial" w:cs="Arial"/>
                <w:sz w:val="22"/>
                <w:szCs w:val="22"/>
                <w:bdr w:val="nil"/>
                <w:lang w:val="de-DE"/>
              </w:rPr>
              <w:t>und Umsetzung ihrer Entscheidungen zu gewährleisten und ihre Entscheidungen und Empfehlungen zu veröffentlichen.</w:t>
            </w:r>
          </w:p>
          <w:p w:rsidRPr="00C0685F" w:rsidR="002F3939" w:rsidP="005B4190" w:rsidRDefault="008F4296" w14:paraId="0D1FEA9E" w14:textId="29D26A5E">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4072558" w:id="23"/>
            <w:r>
              <w:rPr>
                <w:rFonts w:ascii="Arial" w:hAnsi="Arial" w:eastAsia="Arial" w:cs="Arial"/>
                <w:sz w:val="22"/>
                <w:szCs w:val="22"/>
                <w:bdr w:val="nil"/>
                <w:lang w:val="de-DE"/>
              </w:rPr>
              <w:t xml:space="preserve">Erhält </w:t>
            </w:r>
            <w:r w:rsidR="001A74A8">
              <w:rPr>
                <w:rFonts w:ascii="Arial" w:hAnsi="Arial" w:eastAsia="Arial" w:cs="Arial"/>
                <w:sz w:val="22"/>
                <w:szCs w:val="22"/>
                <w:bdr w:val="nil"/>
                <w:lang w:val="de-DE"/>
              </w:rPr>
              <w:t xml:space="preserve">eine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die über Beschwerden entscheide</w:t>
            </w:r>
            <w:r w:rsidR="001A74A8">
              <w:rPr>
                <w:rFonts w:ascii="Arial" w:hAnsi="Arial" w:eastAsia="Arial" w:cs="Arial"/>
                <w:sz w:val="22"/>
                <w:szCs w:val="22"/>
                <w:bdr w:val="nil"/>
                <w:lang w:val="de-DE"/>
              </w:rPr>
              <w:t>t</w:t>
            </w:r>
            <w:r w:rsidR="0078680C">
              <w:rPr>
                <w:rFonts w:ascii="Arial" w:hAnsi="Arial" w:eastAsia="Arial" w:cs="Arial"/>
                <w:sz w:val="22"/>
                <w:szCs w:val="22"/>
                <w:bdr w:val="nil"/>
                <w:lang w:val="de-DE"/>
              </w:rPr>
              <w:t xml:space="preserve">, nicht die in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17 c) und d) </w:t>
            </w:r>
            <w:r>
              <w:rPr>
                <w:rFonts w:ascii="Arial" w:hAnsi="Arial" w:eastAsia="Arial" w:cs="Arial"/>
                <w:sz w:val="22"/>
                <w:szCs w:val="22"/>
                <w:bdr w:val="nil"/>
                <w:lang w:val="de-DE"/>
              </w:rPr>
              <w:t xml:space="preserve">beschriebene </w:t>
            </w:r>
            <w:r w:rsidRPr="008F4296">
              <w:rPr>
                <w:rFonts w:ascii="Arial" w:hAnsi="Arial" w:eastAsia="Arial" w:cs="Arial"/>
                <w:sz w:val="22"/>
                <w:szCs w:val="22"/>
                <w:bdr w:val="nil"/>
                <w:lang w:val="de-DE"/>
              </w:rPr>
              <w:t xml:space="preserve">Kompetenz erhält, rechtsverbindliche Entscheidungen zu erlassen und Sanktionen zu verhängen, </w:t>
            </w:r>
            <w:r w:rsidR="0078680C">
              <w:rPr>
                <w:rFonts w:ascii="Arial" w:hAnsi="Arial" w:eastAsia="Arial" w:cs="Arial"/>
                <w:sz w:val="22"/>
                <w:szCs w:val="22"/>
                <w:bdr w:val="nil"/>
                <w:lang w:val="de-DE"/>
              </w:rPr>
              <w:t xml:space="preserve">sollte </w:t>
            </w:r>
            <w:r w:rsidR="001A74A8">
              <w:rPr>
                <w:rFonts w:ascii="Arial" w:hAnsi="Arial" w:eastAsia="Arial" w:cs="Arial"/>
                <w:sz w:val="22"/>
                <w:szCs w:val="22"/>
                <w:bdr w:val="nil"/>
                <w:lang w:val="de-DE"/>
              </w:rPr>
              <w:t>sie</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mit der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ausgestattet werd</w:t>
            </w:r>
            <w:r w:rsidR="0078680C">
              <w:rPr>
                <w:rFonts w:ascii="Arial" w:hAnsi="Arial" w:eastAsia="Arial" w:cs="Arial"/>
                <w:sz w:val="22"/>
                <w:szCs w:val="22"/>
                <w:bdr w:val="nil"/>
                <w:lang w:val="de-DE"/>
              </w:rPr>
              <w:t>en:</w:t>
            </w:r>
            <w:bookmarkEnd w:id="23"/>
            <w:r w:rsidR="0078680C">
              <w:rPr>
                <w:rFonts w:ascii="Arial" w:hAnsi="Arial" w:eastAsia="Arial" w:cs="Arial"/>
                <w:sz w:val="22"/>
                <w:szCs w:val="22"/>
                <w:bdr w:val="nil"/>
                <w:lang w:val="de-DE"/>
              </w:rPr>
              <w:t xml:space="preserve"> </w:t>
            </w:r>
          </w:p>
          <w:p w:rsidRPr="00C0685F" w:rsidR="002F3939" w:rsidP="002923D7" w:rsidRDefault="001A74A8" w14:paraId="1C78546A" w14:textId="1F6FB42D">
            <w:pPr>
              <w:numPr>
                <w:ilvl w:val="0"/>
                <w:numId w:val="2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 xml:space="preserve">Rechtlich </w:t>
            </w:r>
            <w:r w:rsidR="0078680C">
              <w:rPr>
                <w:rFonts w:ascii="Arial" w:hAnsi="Arial" w:eastAsia="Arial" w:cs="Arial"/>
                <w:sz w:val="22"/>
                <w:szCs w:val="22"/>
                <w:bdr w:val="nil"/>
                <w:lang w:val="de-DE"/>
              </w:rPr>
              <w:t>nicht bind</w:t>
            </w:r>
            <w:r>
              <w:rPr>
                <w:rFonts w:ascii="Arial" w:hAnsi="Arial" w:eastAsia="Arial" w:cs="Arial"/>
                <w:sz w:val="22"/>
                <w:szCs w:val="22"/>
                <w:bdr w:val="nil"/>
                <w:lang w:val="de-DE"/>
              </w:rPr>
              <w:t>ende</w:t>
            </w:r>
            <w:r w:rsidR="0078680C">
              <w:rPr>
                <w:rFonts w:ascii="Arial" w:hAnsi="Arial" w:eastAsia="Arial" w:cs="Arial"/>
                <w:sz w:val="22"/>
                <w:szCs w:val="22"/>
                <w:bdr w:val="nil"/>
                <w:lang w:val="de-DE"/>
              </w:rPr>
              <w:t xml:space="preserve"> Empfehlungen </w:t>
            </w:r>
            <w:r w:rsidR="00B13E80">
              <w:rPr>
                <w:rFonts w:ascii="Arial" w:hAnsi="Arial" w:eastAsia="Arial" w:cs="Arial"/>
                <w:sz w:val="22"/>
                <w:szCs w:val="22"/>
                <w:bdr w:val="nil"/>
                <w:lang w:val="de-DE"/>
              </w:rPr>
              <w:t>zum</w:t>
            </w:r>
            <w:r w:rsidR="0078680C">
              <w:rPr>
                <w:rFonts w:ascii="Arial" w:hAnsi="Arial" w:eastAsia="Arial" w:cs="Arial"/>
                <w:sz w:val="22"/>
                <w:szCs w:val="22"/>
                <w:bdr w:val="nil"/>
                <w:lang w:val="de-DE"/>
              </w:rPr>
              <w:t xml:space="preserve"> Ergreifen von Maßnahmen </w:t>
            </w:r>
            <w:r>
              <w:rPr>
                <w:rFonts w:ascii="Arial" w:hAnsi="Arial" w:eastAsia="Arial" w:cs="Arial"/>
                <w:sz w:val="22"/>
                <w:szCs w:val="22"/>
                <w:bdr w:val="nil"/>
                <w:lang w:val="de-DE"/>
              </w:rPr>
              <w:t xml:space="preserve">zur Beendigung von Diskriminierung, zur Erreichung voller </w:t>
            </w:r>
            <w:r w:rsidR="008F4296">
              <w:rPr>
                <w:rFonts w:ascii="Arial" w:hAnsi="Arial" w:eastAsia="Arial" w:cs="Arial"/>
                <w:sz w:val="22"/>
                <w:szCs w:val="22"/>
                <w:bdr w:val="nil"/>
                <w:lang w:val="de-DE"/>
              </w:rPr>
              <w:t>Gleichheit</w:t>
            </w:r>
            <w:r>
              <w:rPr>
                <w:rFonts w:ascii="Arial" w:hAnsi="Arial" w:eastAsia="Arial" w:cs="Arial"/>
                <w:sz w:val="22"/>
                <w:szCs w:val="22"/>
                <w:bdr w:val="nil"/>
                <w:lang w:val="de-DE"/>
              </w:rPr>
              <w:t xml:space="preserve"> und zur Abwendung </w:t>
            </w:r>
            <w:r w:rsidR="0078680C">
              <w:rPr>
                <w:rFonts w:ascii="Arial" w:hAnsi="Arial" w:eastAsia="Arial" w:cs="Arial"/>
                <w:sz w:val="22"/>
                <w:szCs w:val="22"/>
                <w:bdr w:val="nil"/>
                <w:lang w:val="de-DE"/>
              </w:rPr>
              <w:t>zukünftige</w:t>
            </w:r>
            <w:r>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Diskriminierung </w:t>
            </w:r>
            <w:r w:rsidR="00B13E80">
              <w:rPr>
                <w:rFonts w:ascii="Arial" w:hAnsi="Arial" w:eastAsia="Arial" w:cs="Arial"/>
                <w:sz w:val="22"/>
                <w:szCs w:val="22"/>
                <w:bdr w:val="nil"/>
                <w:lang w:val="de-DE"/>
              </w:rPr>
              <w:t>abzugeben</w:t>
            </w:r>
            <w:r w:rsidR="0078680C">
              <w:rPr>
                <w:rFonts w:ascii="Arial" w:hAnsi="Arial" w:eastAsia="Arial" w:cs="Arial"/>
                <w:sz w:val="22"/>
                <w:szCs w:val="22"/>
                <w:bdr w:val="nil"/>
                <w:lang w:val="de-DE"/>
              </w:rPr>
              <w:t>.</w:t>
            </w:r>
          </w:p>
          <w:p w:rsidRPr="00C0685F" w:rsidR="002F3939" w:rsidP="002516A7" w:rsidRDefault="0078680C" w14:paraId="4F4B3602" w14:textId="1B5FE7E2">
            <w:pPr>
              <w:numPr>
                <w:ilvl w:val="0"/>
                <w:numId w:val="25"/>
              </w:numPr>
              <w:tabs>
                <w:tab w:val="left" w:pos="3828"/>
              </w:tabs>
              <w:spacing w:before="100" w:beforeAutospacing="1" w:after="100" w:afterAutospacing="1" w:line="240" w:lineRule="exact"/>
              <w:ind w:left="743"/>
              <w:jc w:val="both"/>
              <w:rPr>
                <w:rFonts w:ascii="Arial" w:hAnsi="Arial"/>
                <w:sz w:val="22"/>
                <w:lang w:val="de-DE"/>
              </w:rPr>
            </w:pPr>
            <w:r>
              <w:rPr>
                <w:rFonts w:ascii="Arial" w:hAnsi="Arial" w:eastAsia="Arial" w:cs="Arial"/>
                <w:sz w:val="22"/>
                <w:szCs w:val="22"/>
                <w:bdr w:val="nil"/>
                <w:lang w:val="de-DE"/>
              </w:rPr>
              <w:t>Die Umsetzung ihrer Empfehlungen sicherzustellen und, sofern an</w:t>
            </w:r>
            <w:r w:rsidR="00B13E80">
              <w:rPr>
                <w:rFonts w:ascii="Arial" w:hAnsi="Arial" w:eastAsia="Arial" w:cs="Arial"/>
                <w:sz w:val="22"/>
                <w:szCs w:val="22"/>
                <w:bdr w:val="nil"/>
                <w:lang w:val="de-DE"/>
              </w:rPr>
              <w:t>gemessen</w:t>
            </w:r>
            <w:r>
              <w:rPr>
                <w:rFonts w:ascii="Arial" w:hAnsi="Arial" w:eastAsia="Arial" w:cs="Arial"/>
                <w:sz w:val="22"/>
                <w:szCs w:val="22"/>
                <w:bdr w:val="nil"/>
                <w:lang w:val="de-DE"/>
              </w:rPr>
              <w:t xml:space="preserve">, ihre Entscheidungen und Empfehlungen zu veröffentlichen. </w:t>
            </w:r>
          </w:p>
        </w:tc>
      </w:tr>
      <w:tr w:rsidRPr="00046FAE" w:rsidR="00D8651C" w:rsidTr="00C0685F" w14:paraId="1B22C95C" w14:textId="77777777">
        <w:tc>
          <w:tcPr>
            <w:tcW w:w="9640" w:type="dxa"/>
            <w:shd w:val="clear" w:color="auto" w:fill="auto"/>
            <w:tcMar>
              <w:left w:w="108" w:type="dxa"/>
            </w:tcMar>
          </w:tcPr>
          <w:p w:rsidRPr="00C0685F" w:rsidR="002F3939" w:rsidP="002516A7" w:rsidRDefault="0078680C" w14:paraId="73DDB2D7" w14:textId="11F709A8">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3821601" w:id="24"/>
            <w:r>
              <w:rPr>
                <w:rFonts w:ascii="Arial" w:hAnsi="Arial" w:eastAsia="Arial" w:cs="Arial"/>
                <w:sz w:val="22"/>
                <w:szCs w:val="22"/>
                <w:bdr w:val="nil"/>
                <w:lang w:val="de-DE"/>
              </w:rPr>
              <w:t>D</w:t>
            </w:r>
            <w:r w:rsidR="00B13E80">
              <w:rPr>
                <w:rFonts w:ascii="Arial" w:hAnsi="Arial" w:eastAsia="Arial" w:cs="Arial"/>
                <w:sz w:val="22"/>
                <w:szCs w:val="22"/>
                <w:bdr w:val="nil"/>
                <w:lang w:val="de-DE"/>
              </w:rPr>
              <w:t>as Gesetz</w:t>
            </w:r>
            <w:r>
              <w:rPr>
                <w:rFonts w:ascii="Arial" w:hAnsi="Arial" w:eastAsia="Arial" w:cs="Arial"/>
                <w:sz w:val="22"/>
                <w:szCs w:val="22"/>
                <w:bdr w:val="nil"/>
                <w:lang w:val="de-DE"/>
              </w:rPr>
              <w:t xml:space="preserve"> sollte </w:t>
            </w:r>
            <w:r w:rsidR="00B13E80">
              <w:rPr>
                <w:rFonts w:ascii="Arial" w:hAnsi="Arial" w:eastAsia="Arial" w:cs="Arial"/>
                <w:sz w:val="22"/>
                <w:szCs w:val="22"/>
                <w:bdr w:val="nil"/>
                <w:lang w:val="de-DE"/>
              </w:rPr>
              <w:t xml:space="preserve">das </w:t>
            </w:r>
            <w:r>
              <w:rPr>
                <w:rFonts w:ascii="Arial" w:hAnsi="Arial" w:eastAsia="Arial" w:cs="Arial"/>
                <w:sz w:val="22"/>
                <w:szCs w:val="22"/>
                <w:bdr w:val="nil"/>
                <w:lang w:val="de-DE"/>
              </w:rPr>
              <w:t xml:space="preserve">Recht </w:t>
            </w:r>
            <w:r w:rsidR="00B13E80">
              <w:rPr>
                <w:rFonts w:ascii="Arial" w:hAnsi="Arial" w:eastAsia="Arial" w:cs="Arial"/>
                <w:sz w:val="22"/>
                <w:szCs w:val="22"/>
                <w:bdr w:val="nil"/>
                <w:lang w:val="de-DE"/>
              </w:rPr>
              <w:t xml:space="preserve">vorsehen, </w:t>
            </w:r>
            <w:r>
              <w:rPr>
                <w:rFonts w:ascii="Arial" w:hAnsi="Arial" w:eastAsia="Arial" w:cs="Arial"/>
                <w:sz w:val="22"/>
                <w:szCs w:val="22"/>
                <w:bdr w:val="nil"/>
                <w:lang w:val="de-DE"/>
              </w:rPr>
              <w:t xml:space="preserve">rechtsverbindliche </w:t>
            </w:r>
            <w:r w:rsidR="00B13E80">
              <w:rPr>
                <w:rFonts w:ascii="Arial" w:hAnsi="Arial" w:eastAsia="Arial" w:cs="Arial"/>
                <w:sz w:val="22"/>
                <w:szCs w:val="22"/>
                <w:bdr w:val="nil"/>
                <w:lang w:val="de-DE"/>
              </w:rPr>
              <w:t xml:space="preserve">verfahrensbeendende </w:t>
            </w:r>
            <w:r>
              <w:rPr>
                <w:rFonts w:ascii="Arial" w:hAnsi="Arial" w:eastAsia="Arial" w:cs="Arial"/>
                <w:sz w:val="22"/>
                <w:szCs w:val="22"/>
                <w:bdr w:val="nil"/>
                <w:lang w:val="de-DE"/>
              </w:rPr>
              <w:t xml:space="preserve">Entscheidungen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B13E80">
              <w:rPr>
                <w:rFonts w:ascii="Arial" w:hAnsi="Arial" w:eastAsia="Arial" w:cs="Arial"/>
                <w:sz w:val="22"/>
                <w:szCs w:val="22"/>
                <w:bdr w:val="nil"/>
                <w:lang w:val="de-DE"/>
              </w:rPr>
              <w:t>vor den Gerichten anzufechten</w:t>
            </w:r>
            <w:bookmarkEnd w:id="24"/>
            <w:r w:rsidR="00B13E80">
              <w:rPr>
                <w:rFonts w:ascii="Arial" w:hAnsi="Arial" w:eastAsia="Arial" w:cs="Arial"/>
                <w:sz w:val="22"/>
                <w:szCs w:val="22"/>
                <w:bdr w:val="nil"/>
                <w:lang w:val="de-DE"/>
              </w:rPr>
              <w:t>.</w:t>
            </w:r>
            <w:r>
              <w:rPr>
                <w:rFonts w:ascii="Arial" w:hAnsi="Arial" w:eastAsia="Arial" w:cs="Arial"/>
                <w:sz w:val="22"/>
                <w:szCs w:val="22"/>
                <w:bdr w:val="nil"/>
                <w:lang w:val="de-DE"/>
              </w:rPr>
              <w:t xml:space="preserve"> </w:t>
            </w:r>
          </w:p>
        </w:tc>
      </w:tr>
      <w:tr w:rsidRPr="00046FAE" w:rsidR="00D8651C" w:rsidTr="00C0685F" w14:paraId="57AB920D" w14:textId="77777777">
        <w:tc>
          <w:tcPr>
            <w:tcW w:w="9640" w:type="dxa"/>
            <w:shd w:val="clear" w:color="auto" w:fill="auto"/>
            <w:tcMar>
              <w:left w:w="108" w:type="dxa"/>
            </w:tcMar>
          </w:tcPr>
          <w:p w:rsidRPr="006C29B1" w:rsidR="002F3939" w:rsidP="002516A7" w:rsidRDefault="0078680C" w14:paraId="20938D97" w14:textId="0BD61A5F">
            <w:pPr>
              <w:numPr>
                <w:ilvl w:val="0"/>
                <w:numId w:val="1"/>
              </w:numPr>
              <w:tabs>
                <w:tab w:val="left" w:pos="709"/>
                <w:tab w:val="left" w:pos="1276"/>
              </w:tabs>
              <w:spacing w:before="100" w:beforeAutospacing="1" w:after="100" w:afterAutospacing="1" w:line="240" w:lineRule="exact"/>
              <w:jc w:val="both"/>
              <w:rPr>
                <w:rFonts w:ascii="Arial" w:hAnsi="Arial" w:cs="Arial"/>
                <w:sz w:val="22"/>
                <w:szCs w:val="22"/>
                <w:lang w:val="de-DE"/>
              </w:rPr>
            </w:pPr>
            <w:bookmarkStart w:name="_Ref483821611" w:id="25"/>
            <w:r>
              <w:rPr>
                <w:rFonts w:ascii="Arial" w:hAnsi="Arial" w:eastAsia="Arial" w:cs="Arial"/>
                <w:sz w:val="22"/>
                <w:szCs w:val="22"/>
                <w:bdr w:val="nil"/>
                <w:lang w:val="de-DE"/>
              </w:rPr>
              <w:t>D</w:t>
            </w:r>
            <w:r w:rsidR="00B13E80">
              <w:rPr>
                <w:rFonts w:ascii="Arial" w:hAnsi="Arial" w:eastAsia="Arial" w:cs="Arial"/>
                <w:sz w:val="22"/>
                <w:szCs w:val="22"/>
                <w:bdr w:val="nil"/>
                <w:lang w:val="de-DE"/>
              </w:rPr>
              <w:t>as Gesetz</w:t>
            </w:r>
            <w:r>
              <w:rPr>
                <w:rFonts w:ascii="Arial" w:hAnsi="Arial" w:eastAsia="Arial" w:cs="Arial"/>
                <w:sz w:val="22"/>
                <w:szCs w:val="22"/>
                <w:bdr w:val="nil"/>
                <w:lang w:val="de-DE"/>
              </w:rPr>
              <w:t xml:space="preserve"> sollte vorsehen, dass Beschwerdeführer das Recht haben zu entscheiden, ob sie zuerst ein Verfahren </w:t>
            </w:r>
            <w:r w:rsidR="00B13E80">
              <w:rPr>
                <w:rFonts w:ascii="Arial" w:hAnsi="Arial" w:eastAsia="Arial" w:cs="Arial"/>
                <w:sz w:val="22"/>
                <w:szCs w:val="22"/>
                <w:bdr w:val="nil"/>
                <w:lang w:val="de-DE"/>
              </w:rPr>
              <w:t>vor</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einleiten oder direkt </w:t>
            </w:r>
            <w:r w:rsidR="00B13E80">
              <w:rPr>
                <w:rFonts w:ascii="Arial" w:hAnsi="Arial" w:eastAsia="Arial" w:cs="Arial"/>
                <w:sz w:val="22"/>
                <w:szCs w:val="22"/>
                <w:bdr w:val="nil"/>
                <w:lang w:val="de-DE"/>
              </w:rPr>
              <w:t>vor</w:t>
            </w:r>
            <w:r>
              <w:rPr>
                <w:rFonts w:ascii="Arial" w:hAnsi="Arial" w:eastAsia="Arial" w:cs="Arial"/>
                <w:sz w:val="22"/>
                <w:szCs w:val="22"/>
                <w:bdr w:val="nil"/>
                <w:lang w:val="de-DE"/>
              </w:rPr>
              <w:t xml:space="preserve"> Gericht </w:t>
            </w:r>
            <w:r w:rsidR="00B13E80">
              <w:rPr>
                <w:rFonts w:ascii="Arial" w:hAnsi="Arial" w:eastAsia="Arial" w:cs="Arial"/>
                <w:sz w:val="22"/>
                <w:szCs w:val="22"/>
                <w:bdr w:val="nil"/>
                <w:lang w:val="de-DE"/>
              </w:rPr>
              <w:t>gehen</w:t>
            </w:r>
            <w:r>
              <w:rPr>
                <w:rFonts w:ascii="Arial" w:hAnsi="Arial" w:eastAsia="Arial" w:cs="Arial"/>
                <w:sz w:val="22"/>
                <w:szCs w:val="22"/>
                <w:bdr w:val="nil"/>
                <w:lang w:val="de-DE"/>
              </w:rPr>
              <w:t xml:space="preserve"> möchten. Verfahren </w:t>
            </w:r>
            <w:r w:rsidR="00B13E80">
              <w:rPr>
                <w:rFonts w:ascii="Arial" w:hAnsi="Arial" w:eastAsia="Arial" w:cs="Arial"/>
                <w:sz w:val="22"/>
                <w:szCs w:val="22"/>
                <w:bdr w:val="nil"/>
                <w:lang w:val="de-DE"/>
              </w:rPr>
              <w:t>vor</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die </w:t>
            </w:r>
            <w:r w:rsidR="00B13E80">
              <w:rPr>
                <w:rFonts w:ascii="Arial" w:hAnsi="Arial" w:eastAsia="Arial" w:cs="Arial"/>
                <w:sz w:val="22"/>
                <w:szCs w:val="22"/>
                <w:bdr w:val="nil"/>
                <w:lang w:val="de-DE"/>
              </w:rPr>
              <w:t>Fristen für die Einleitung nachfolgender</w:t>
            </w:r>
            <w:r>
              <w:rPr>
                <w:rFonts w:ascii="Arial" w:hAnsi="Arial" w:eastAsia="Arial" w:cs="Arial"/>
                <w:sz w:val="22"/>
                <w:szCs w:val="22"/>
                <w:bdr w:val="nil"/>
                <w:lang w:val="de-DE"/>
              </w:rPr>
              <w:t xml:space="preserve"> Gerichtsverfahren </w:t>
            </w:r>
            <w:r w:rsidR="00B13E80">
              <w:rPr>
                <w:rFonts w:ascii="Arial" w:hAnsi="Arial" w:eastAsia="Arial" w:cs="Arial"/>
                <w:sz w:val="22"/>
                <w:szCs w:val="22"/>
                <w:bdr w:val="nil"/>
                <w:lang w:val="de-DE"/>
              </w:rPr>
              <w:t>unterbrechen</w:t>
            </w:r>
            <w:bookmarkEnd w:id="25"/>
            <w:r>
              <w:rPr>
                <w:rFonts w:ascii="Arial" w:hAnsi="Arial" w:eastAsia="Arial" w:cs="Arial"/>
                <w:sz w:val="22"/>
                <w:szCs w:val="22"/>
                <w:bdr w:val="nil"/>
                <w:lang w:val="de-DE"/>
              </w:rPr>
              <w:t>.</w:t>
            </w:r>
          </w:p>
        </w:tc>
      </w:tr>
      <w:tr w:rsidRPr="00C0685F" w:rsidR="00D8651C" w:rsidTr="00C0685F" w14:paraId="119D54BA" w14:textId="77777777">
        <w:tc>
          <w:tcPr>
            <w:tcW w:w="9640" w:type="dxa"/>
            <w:shd w:val="clear" w:color="auto" w:fill="auto"/>
            <w:tcMar>
              <w:left w:w="108" w:type="dxa"/>
            </w:tcMar>
          </w:tcPr>
          <w:p w:rsidRPr="00C0685F" w:rsidR="002F3939" w:rsidP="00FE358E" w:rsidRDefault="0078680C" w14:paraId="6C0EDF67" w14:textId="1D70D087">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b/>
                <w:sz w:val="22"/>
                <w:lang w:val="de-DE"/>
              </w:rPr>
            </w:pPr>
            <w:r>
              <w:rPr>
                <w:rFonts w:ascii="Arial" w:hAnsi="Arial" w:eastAsia="Arial" w:cs="Arial"/>
                <w:b/>
                <w:bCs/>
                <w:sz w:val="22"/>
                <w:szCs w:val="22"/>
                <w:bdr w:val="nil"/>
                <w:lang w:val="de-DE"/>
              </w:rPr>
              <w:t>Befugnis</w:t>
            </w:r>
            <w:r w:rsidR="00A90B4B">
              <w:rPr>
                <w:rFonts w:ascii="Arial" w:hAnsi="Arial" w:eastAsia="Arial" w:cs="Arial"/>
                <w:b/>
                <w:bCs/>
                <w:sz w:val="22"/>
                <w:szCs w:val="22"/>
                <w:bdr w:val="nil"/>
                <w:lang w:val="de-DE"/>
              </w:rPr>
              <w:t>se</w:t>
            </w:r>
            <w:r>
              <w:rPr>
                <w:rFonts w:ascii="Arial" w:hAnsi="Arial" w:eastAsia="Arial" w:cs="Arial"/>
                <w:b/>
                <w:bCs/>
                <w:sz w:val="22"/>
                <w:szCs w:val="22"/>
                <w:bdr w:val="nil"/>
                <w:lang w:val="de-DE"/>
              </w:rPr>
              <w:t>, Beweise und Informationen zu erheben</w:t>
            </w:r>
          </w:p>
        </w:tc>
      </w:tr>
      <w:tr w:rsidRPr="00C0685F" w:rsidR="00D8651C" w:rsidTr="00C0685F" w14:paraId="3C97EC25" w14:textId="77777777">
        <w:tc>
          <w:tcPr>
            <w:tcW w:w="9640" w:type="dxa"/>
            <w:shd w:val="clear" w:color="auto" w:fill="auto"/>
            <w:tcMar>
              <w:left w:w="108" w:type="dxa"/>
            </w:tcMar>
          </w:tcPr>
          <w:p w:rsidRPr="00C0685F" w:rsidR="002F3939" w:rsidP="00523373" w:rsidRDefault="00781974" w14:paraId="5BC82309" w14:textId="33993ABB">
            <w:pPr>
              <w:numPr>
                <w:ilvl w:val="0"/>
                <w:numId w:val="1"/>
              </w:numPr>
              <w:tabs>
                <w:tab w:val="left" w:pos="709"/>
                <w:tab w:val="left" w:pos="1276"/>
              </w:tabs>
              <w:spacing w:before="100" w:beforeAutospacing="1" w:after="100" w:afterAutospacing="1" w:line="240" w:lineRule="exact"/>
              <w:jc w:val="both"/>
              <w:rPr>
                <w:rFonts w:ascii="Arial" w:hAnsi="Arial" w:cs="Arial"/>
                <w:sz w:val="22"/>
                <w:szCs w:val="22"/>
                <w:lang w:val="de-DE"/>
              </w:rPr>
            </w:pPr>
            <w:bookmarkStart w:name="_Ref483821625" w:id="26"/>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insbesondere </w:t>
            </w:r>
            <w:r w:rsidR="008F4296">
              <w:rPr>
                <w:rFonts w:ascii="Arial" w:hAnsi="Arial" w:eastAsia="Arial" w:cs="Arial"/>
                <w:sz w:val="22"/>
                <w:szCs w:val="22"/>
                <w:bdr w:val="nil"/>
                <w:lang w:val="de-DE"/>
              </w:rPr>
              <w:t xml:space="preserve">wenn sie </w:t>
            </w:r>
            <w:r w:rsidR="0078680C">
              <w:rPr>
                <w:rFonts w:ascii="Arial" w:hAnsi="Arial" w:eastAsia="Arial" w:cs="Arial"/>
                <w:sz w:val="22"/>
                <w:szCs w:val="22"/>
                <w:bdr w:val="nil"/>
                <w:lang w:val="de-DE"/>
              </w:rPr>
              <w:t xml:space="preserve">Untersuchungen </w:t>
            </w:r>
            <w:r w:rsidR="008F4296">
              <w:rPr>
                <w:rFonts w:ascii="Arial" w:hAnsi="Arial" w:eastAsia="Arial" w:cs="Arial"/>
                <w:sz w:val="22"/>
                <w:szCs w:val="22"/>
                <w:bdr w:val="nil"/>
                <w:lang w:val="de-DE"/>
              </w:rPr>
              <w:t>durchführen oder über Beschwerden e</w:t>
            </w:r>
            <w:r w:rsidR="0078680C">
              <w:rPr>
                <w:rFonts w:ascii="Arial" w:hAnsi="Arial" w:eastAsia="Arial" w:cs="Arial"/>
                <w:sz w:val="22"/>
                <w:szCs w:val="22"/>
                <w:bdr w:val="nil"/>
                <w:lang w:val="de-DE"/>
              </w:rPr>
              <w:t>ntscheid</w:t>
            </w:r>
            <w:r w:rsidR="008F4296">
              <w:rPr>
                <w:rFonts w:ascii="Arial" w:hAnsi="Arial" w:eastAsia="Arial" w:cs="Arial"/>
                <w:sz w:val="22"/>
                <w:szCs w:val="22"/>
                <w:bdr w:val="nil"/>
                <w:lang w:val="de-DE"/>
              </w:rPr>
              <w:t>en</w:t>
            </w:r>
            <w:r w:rsidR="0078680C">
              <w:rPr>
                <w:rFonts w:ascii="Arial" w:hAnsi="Arial" w:eastAsia="Arial" w:cs="Arial"/>
                <w:sz w:val="22"/>
                <w:szCs w:val="22"/>
                <w:bdr w:val="nil"/>
                <w:lang w:val="de-DE"/>
              </w:rPr>
              <w:t>, Befugnis</w:t>
            </w:r>
            <w:r w:rsidR="00A90B4B">
              <w:rPr>
                <w:rFonts w:ascii="Arial" w:hAnsi="Arial" w:eastAsia="Arial" w:cs="Arial"/>
                <w:sz w:val="22"/>
                <w:szCs w:val="22"/>
                <w:bdr w:val="nil"/>
                <w:lang w:val="de-DE"/>
              </w:rPr>
              <w:t>se</w:t>
            </w:r>
            <w:r w:rsidR="0078680C">
              <w:rPr>
                <w:rFonts w:ascii="Arial" w:hAnsi="Arial" w:eastAsia="Arial" w:cs="Arial"/>
                <w:sz w:val="22"/>
                <w:szCs w:val="22"/>
                <w:bdr w:val="nil"/>
                <w:lang w:val="de-DE"/>
              </w:rPr>
              <w:t xml:space="preserve"> </w:t>
            </w:r>
            <w:r w:rsidR="00A90B4B">
              <w:rPr>
                <w:rFonts w:ascii="Arial" w:hAnsi="Arial" w:eastAsia="Arial" w:cs="Arial"/>
                <w:sz w:val="22"/>
                <w:szCs w:val="22"/>
                <w:bdr w:val="nil"/>
                <w:lang w:val="de-DE"/>
              </w:rPr>
              <w:t xml:space="preserve">zur Erhebung von </w:t>
            </w:r>
            <w:r w:rsidR="0078680C">
              <w:rPr>
                <w:rFonts w:ascii="Arial" w:hAnsi="Arial" w:eastAsia="Arial" w:cs="Arial"/>
                <w:sz w:val="22"/>
                <w:szCs w:val="22"/>
                <w:bdr w:val="nil"/>
                <w:lang w:val="de-DE"/>
              </w:rPr>
              <w:t>Beweise</w:t>
            </w:r>
            <w:r w:rsidR="00A90B4B">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und Informationen </w:t>
            </w:r>
            <w:r w:rsidR="00A90B4B">
              <w:rPr>
                <w:rFonts w:ascii="Arial" w:hAnsi="Arial" w:eastAsia="Arial" w:cs="Arial"/>
                <w:sz w:val="22"/>
                <w:szCs w:val="22"/>
                <w:bdr w:val="nil"/>
                <w:lang w:val="de-DE"/>
              </w:rPr>
              <w:t>haben</w:t>
            </w:r>
            <w:r w:rsidR="0078680C">
              <w:rPr>
                <w:rFonts w:ascii="Arial" w:hAnsi="Arial" w:eastAsia="Arial" w:cs="Arial"/>
                <w:sz w:val="22"/>
                <w:szCs w:val="22"/>
                <w:bdr w:val="nil"/>
                <w:lang w:val="de-DE"/>
              </w:rPr>
              <w:t>. Dies</w:t>
            </w:r>
            <w:r w:rsidR="00A90B4B">
              <w:rPr>
                <w:rFonts w:ascii="Arial" w:hAnsi="Arial" w:eastAsia="Arial" w:cs="Arial"/>
                <w:sz w:val="22"/>
                <w:szCs w:val="22"/>
                <w:bdr w:val="nil"/>
                <w:lang w:val="de-DE"/>
              </w:rPr>
              <w:t>e</w:t>
            </w:r>
            <w:r w:rsidR="0078680C">
              <w:rPr>
                <w:rFonts w:ascii="Arial" w:hAnsi="Arial" w:eastAsia="Arial" w:cs="Arial"/>
                <w:sz w:val="22"/>
                <w:szCs w:val="22"/>
                <w:bdr w:val="nil"/>
                <w:lang w:val="de-DE"/>
              </w:rPr>
              <w:t xml:space="preserve"> sollte</w:t>
            </w:r>
            <w:r w:rsidR="00A90B4B">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die Befugnisse einschließen:</w:t>
            </w:r>
            <w:bookmarkEnd w:id="26"/>
          </w:p>
          <w:p w:rsidRPr="00C0685F" w:rsidR="002F3939" w:rsidP="00523373" w:rsidRDefault="00A90B4B" w14:paraId="27F4E457" w14:textId="6B0A1D23">
            <w:pPr>
              <w:numPr>
                <w:ilvl w:val="0"/>
                <w:numId w:val="10"/>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Die Vorlage von </w:t>
            </w:r>
            <w:r w:rsidR="0078680C">
              <w:rPr>
                <w:rFonts w:ascii="Arial" w:hAnsi="Arial" w:eastAsia="Arial" w:cs="Arial"/>
                <w:sz w:val="22"/>
                <w:szCs w:val="22"/>
                <w:bdr w:val="nil"/>
                <w:lang w:val="de-DE"/>
              </w:rPr>
              <w:t xml:space="preserve">Akten, Dokumente und andere </w:t>
            </w:r>
            <w:r>
              <w:rPr>
                <w:rFonts w:ascii="Arial" w:hAnsi="Arial" w:eastAsia="Arial" w:cs="Arial"/>
                <w:sz w:val="22"/>
                <w:szCs w:val="22"/>
                <w:bdr w:val="nil"/>
                <w:lang w:val="de-DE"/>
              </w:rPr>
              <w:t>Materialien</w:t>
            </w:r>
            <w:r w:rsidR="0078680C">
              <w:rPr>
                <w:rFonts w:ascii="Arial" w:hAnsi="Arial" w:eastAsia="Arial" w:cs="Arial"/>
                <w:sz w:val="22"/>
                <w:szCs w:val="22"/>
                <w:bdr w:val="nil"/>
                <w:lang w:val="de-DE"/>
              </w:rPr>
              <w:t xml:space="preserve"> </w:t>
            </w:r>
            <w:r w:rsidR="002B08F2">
              <w:rPr>
                <w:rFonts w:ascii="Arial" w:hAnsi="Arial" w:eastAsia="Arial" w:cs="Arial"/>
                <w:sz w:val="22"/>
                <w:szCs w:val="22"/>
                <w:bdr w:val="nil"/>
                <w:lang w:val="de-DE"/>
              </w:rPr>
              <w:t>zur Einsicht,</w:t>
            </w:r>
            <w:r w:rsidR="0078680C">
              <w:rPr>
                <w:rFonts w:ascii="Arial" w:hAnsi="Arial" w:eastAsia="Arial" w:cs="Arial"/>
                <w:sz w:val="22"/>
                <w:szCs w:val="22"/>
                <w:bdr w:val="nil"/>
                <w:lang w:val="de-DE"/>
              </w:rPr>
              <w:t xml:space="preserve"> Prüfung </w:t>
            </w:r>
            <w:r>
              <w:rPr>
                <w:rFonts w:ascii="Arial" w:hAnsi="Arial" w:eastAsia="Arial" w:cs="Arial"/>
                <w:sz w:val="22"/>
                <w:szCs w:val="22"/>
                <w:bdr w:val="nil"/>
                <w:lang w:val="de-DE"/>
              </w:rPr>
              <w:t>und die Anfertigung von Kopien zu verlangen</w:t>
            </w:r>
            <w:r w:rsidR="0078680C">
              <w:rPr>
                <w:rFonts w:ascii="Arial" w:hAnsi="Arial" w:eastAsia="Arial" w:cs="Arial"/>
                <w:sz w:val="22"/>
                <w:szCs w:val="22"/>
                <w:bdr w:val="nil"/>
                <w:lang w:val="de-DE"/>
              </w:rPr>
              <w:t>;</w:t>
            </w:r>
          </w:p>
          <w:p w:rsidRPr="006353CB" w:rsidR="002F3939" w:rsidP="005B4190" w:rsidRDefault="0078680C" w14:paraId="78E8AFCC" w14:textId="7E0CB961">
            <w:pPr>
              <w:numPr>
                <w:ilvl w:val="0"/>
                <w:numId w:val="10"/>
              </w:numPr>
              <w:tabs>
                <w:tab w:val="clear" w:pos="340"/>
                <w:tab w:val="num" w:pos="709"/>
                <w:tab w:val="left" w:pos="3828"/>
              </w:tabs>
              <w:spacing w:before="100" w:beforeAutospacing="1" w:after="100" w:afterAutospacing="1" w:line="240" w:lineRule="exact"/>
              <w:ind w:left="709"/>
              <w:jc w:val="both"/>
              <w:rPr>
                <w:rFonts w:ascii="Arial" w:hAnsi="Arial" w:cs="Arial"/>
                <w:sz w:val="22"/>
                <w:szCs w:val="22"/>
              </w:rPr>
            </w:pPr>
            <w:r>
              <w:rPr>
                <w:rFonts w:ascii="Arial" w:hAnsi="Arial" w:eastAsia="Arial" w:cs="Arial"/>
                <w:sz w:val="22"/>
                <w:szCs w:val="22"/>
                <w:bdr w:val="nil"/>
                <w:lang w:val="de-DE"/>
              </w:rPr>
              <w:t xml:space="preserve">vor Ort </w:t>
            </w:r>
            <w:r w:rsidR="002B08F2">
              <w:rPr>
                <w:rFonts w:ascii="Arial" w:hAnsi="Arial" w:eastAsia="Arial" w:cs="Arial"/>
                <w:sz w:val="22"/>
                <w:szCs w:val="22"/>
                <w:bdr w:val="nil"/>
                <w:lang w:val="de-DE"/>
              </w:rPr>
              <w:t xml:space="preserve">Überprüfungen </w:t>
            </w:r>
            <w:r>
              <w:rPr>
                <w:rFonts w:ascii="Arial" w:hAnsi="Arial" w:eastAsia="Arial" w:cs="Arial"/>
                <w:sz w:val="22"/>
                <w:szCs w:val="22"/>
                <w:bdr w:val="nil"/>
                <w:lang w:val="de-DE"/>
              </w:rPr>
              <w:t>durchzuführen;</w:t>
            </w:r>
          </w:p>
          <w:p w:rsidRPr="006353CB" w:rsidR="002F3939" w:rsidP="005B4190" w:rsidRDefault="0078680C" w14:paraId="11AD2F48" w14:textId="77777777">
            <w:pPr>
              <w:numPr>
                <w:ilvl w:val="0"/>
                <w:numId w:val="10"/>
              </w:numPr>
              <w:tabs>
                <w:tab w:val="clear" w:pos="340"/>
                <w:tab w:val="num" w:pos="709"/>
                <w:tab w:val="left" w:pos="3828"/>
              </w:tabs>
              <w:spacing w:before="100" w:beforeAutospacing="1" w:after="100" w:afterAutospacing="1" w:line="240" w:lineRule="exact"/>
              <w:ind w:left="709"/>
              <w:jc w:val="both"/>
              <w:rPr>
                <w:rFonts w:ascii="Arial" w:hAnsi="Arial" w:cs="Arial"/>
                <w:sz w:val="22"/>
                <w:szCs w:val="22"/>
              </w:rPr>
            </w:pPr>
            <w:r>
              <w:rPr>
                <w:rFonts w:ascii="Arial" w:hAnsi="Arial" w:eastAsia="Arial" w:cs="Arial"/>
                <w:sz w:val="22"/>
                <w:szCs w:val="22"/>
                <w:bdr w:val="nil"/>
                <w:lang w:val="de-DE"/>
              </w:rPr>
              <w:t xml:space="preserve">Personen zu befragen; </w:t>
            </w:r>
          </w:p>
          <w:p w:rsidRPr="00C0685F" w:rsidR="002F3939" w:rsidP="005B4190" w:rsidRDefault="0078680C" w14:paraId="3BFB8E89" w14:textId="6B71A48A">
            <w:pPr>
              <w:numPr>
                <w:ilvl w:val="0"/>
                <w:numId w:val="10"/>
              </w:numPr>
              <w:tabs>
                <w:tab w:val="clear" w:pos="340"/>
                <w:tab w:val="num" w:pos="709"/>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eine durchsetzbare gerichtliche Verfügung zu beantragen oder </w:t>
            </w:r>
            <w:r w:rsidR="00A90B4B">
              <w:rPr>
                <w:rFonts w:ascii="Arial" w:hAnsi="Arial" w:eastAsia="Arial" w:cs="Arial"/>
                <w:sz w:val="22"/>
                <w:szCs w:val="22"/>
                <w:bdr w:val="nil"/>
                <w:lang w:val="de-DE"/>
              </w:rPr>
              <w:t xml:space="preserve">Bußgelder </w:t>
            </w:r>
            <w:r>
              <w:rPr>
                <w:rFonts w:ascii="Arial" w:hAnsi="Arial" w:eastAsia="Arial" w:cs="Arial"/>
                <w:sz w:val="22"/>
                <w:szCs w:val="22"/>
                <w:bdr w:val="nil"/>
                <w:lang w:val="de-DE"/>
              </w:rPr>
              <w:t>zu verhängen, wenn</w:t>
            </w:r>
            <w:r w:rsidR="002B08F2">
              <w:rPr>
                <w:rFonts w:ascii="Arial" w:hAnsi="Arial" w:eastAsia="Arial" w:cs="Arial"/>
                <w:sz w:val="22"/>
                <w:szCs w:val="22"/>
                <w:bdr w:val="nil"/>
                <w:lang w:val="de-DE"/>
              </w:rPr>
              <w:t xml:space="preserve"> sich</w:t>
            </w:r>
            <w:r>
              <w:rPr>
                <w:rFonts w:ascii="Arial" w:hAnsi="Arial" w:eastAsia="Arial" w:cs="Arial"/>
                <w:sz w:val="22"/>
                <w:szCs w:val="22"/>
                <w:bdr w:val="nil"/>
                <w:lang w:val="de-DE"/>
              </w:rPr>
              <w:t xml:space="preserve"> eine Person oder Institution </w:t>
            </w:r>
            <w:r w:rsidR="002B08F2">
              <w:rPr>
                <w:rFonts w:ascii="Arial" w:hAnsi="Arial" w:eastAsia="Arial" w:cs="Arial"/>
                <w:sz w:val="22"/>
                <w:szCs w:val="22"/>
                <w:bdr w:val="nil"/>
                <w:lang w:val="de-DE"/>
              </w:rPr>
              <w:t>dem Obenstehenden nicht fügt</w:t>
            </w:r>
            <w:r>
              <w:rPr>
                <w:rFonts w:ascii="Arial" w:hAnsi="Arial" w:eastAsia="Arial" w:cs="Arial"/>
                <w:sz w:val="22"/>
                <w:szCs w:val="22"/>
                <w:bdr w:val="nil"/>
                <w:lang w:val="de-DE"/>
              </w:rPr>
              <w:t>.</w:t>
            </w:r>
          </w:p>
        </w:tc>
      </w:tr>
      <w:tr w:rsidR="00D8651C" w:rsidTr="00C0685F" w14:paraId="7C42D915" w14:textId="77777777">
        <w:tc>
          <w:tcPr>
            <w:tcW w:w="9640" w:type="dxa"/>
            <w:shd w:val="clear" w:color="auto" w:fill="auto"/>
            <w:tcMar>
              <w:left w:w="108" w:type="dxa"/>
            </w:tcMar>
          </w:tcPr>
          <w:p w:rsidRPr="006353CB" w:rsidR="002F3939" w:rsidP="008E2E49" w:rsidRDefault="0078680C" w14:paraId="2B4B2122" w14:textId="01C23D9E">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en-GB"/>
              </w:rPr>
            </w:pPr>
            <w:r>
              <w:rPr>
                <w:rFonts w:ascii="Arial" w:hAnsi="Arial" w:eastAsia="Arial" w:cs="Arial"/>
                <w:b/>
                <w:bCs/>
                <w:sz w:val="22"/>
                <w:szCs w:val="22"/>
                <w:bdr w:val="nil"/>
                <w:lang w:val="de-DE"/>
              </w:rPr>
              <w:t xml:space="preserve">Unabhängigkeit und </w:t>
            </w:r>
            <w:r w:rsidR="00A90B4B">
              <w:rPr>
                <w:rFonts w:ascii="Arial" w:hAnsi="Arial" w:eastAsia="Arial" w:cs="Arial"/>
                <w:b/>
                <w:bCs/>
                <w:sz w:val="22"/>
                <w:szCs w:val="22"/>
                <w:bdr w:val="nil"/>
                <w:lang w:val="de-DE"/>
              </w:rPr>
              <w:t>Effektivität</w:t>
            </w:r>
          </w:p>
        </w:tc>
      </w:tr>
      <w:tr w:rsidRPr="00C0685F" w:rsidR="00D8651C" w:rsidTr="00C0685F" w14:paraId="286481AD" w14:textId="77777777">
        <w:tc>
          <w:tcPr>
            <w:tcW w:w="9640" w:type="dxa"/>
            <w:shd w:val="clear" w:color="auto" w:fill="auto"/>
            <w:tcMar>
              <w:left w:w="108" w:type="dxa"/>
            </w:tcMar>
          </w:tcPr>
          <w:p w:rsidRPr="00C0685F" w:rsidR="002F3939" w:rsidP="0091482E" w:rsidRDefault="00781974" w14:paraId="2B8F02A0" w14:textId="4F4DE93E">
            <w:pPr>
              <w:numPr>
                <w:ilvl w:val="0"/>
                <w:numId w:val="1"/>
              </w:numPr>
              <w:tabs>
                <w:tab w:val="left" w:pos="709"/>
                <w:tab w:val="left" w:pos="1276"/>
              </w:tabs>
              <w:spacing w:before="100" w:beforeAutospacing="1" w:after="100" w:afterAutospacing="1" w:line="240" w:lineRule="exact"/>
              <w:jc w:val="both"/>
              <w:rPr>
                <w:rFonts w:ascii="Arial" w:hAnsi="Arial"/>
                <w:sz w:val="22"/>
                <w:lang w:val="de-DE"/>
              </w:rPr>
            </w:pPr>
            <w:bookmarkStart w:name="_Ref483821638" w:id="27"/>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ohne </w:t>
            </w:r>
            <w:r w:rsidR="002B08F2">
              <w:rPr>
                <w:rFonts w:ascii="Arial" w:hAnsi="Arial" w:eastAsia="Arial" w:cs="Arial"/>
                <w:sz w:val="22"/>
                <w:szCs w:val="22"/>
                <w:bdr w:val="nil"/>
                <w:lang w:val="de-DE"/>
              </w:rPr>
              <w:t xml:space="preserve">jegliche </w:t>
            </w:r>
            <w:r w:rsidR="0078680C">
              <w:rPr>
                <w:rFonts w:ascii="Arial" w:hAnsi="Arial" w:eastAsia="Arial" w:cs="Arial"/>
                <w:sz w:val="22"/>
                <w:szCs w:val="22"/>
                <w:bdr w:val="nil"/>
                <w:lang w:val="de-DE"/>
              </w:rPr>
              <w:t xml:space="preserve">Einflussnahme des Staates, politischer Parteien oder anderer Akteure </w:t>
            </w:r>
            <w:r w:rsidR="00A90B4B">
              <w:rPr>
                <w:rFonts w:ascii="Arial" w:hAnsi="Arial" w:eastAsia="Arial" w:cs="Arial"/>
                <w:sz w:val="22"/>
                <w:szCs w:val="22"/>
                <w:bdr w:val="nil"/>
                <w:lang w:val="de-DE"/>
              </w:rPr>
              <w:t>arbeiten</w:t>
            </w:r>
            <w:r w:rsidR="0078680C">
              <w:rPr>
                <w:rFonts w:ascii="Arial" w:hAnsi="Arial" w:eastAsia="Arial" w:cs="Arial"/>
                <w:sz w:val="22"/>
                <w:szCs w:val="22"/>
                <w:bdr w:val="nil"/>
                <w:lang w:val="de-DE"/>
              </w:rPr>
              <w:t xml:space="preserve"> und sollten von diesen keine Anweisungen erhalten; sie sollten auf institutioneller und operativer Ebene vollständig unabhängig sein.</w:t>
            </w:r>
            <w:bookmarkEnd w:id="27"/>
            <w:r w:rsidR="0078680C">
              <w:rPr>
                <w:rFonts w:ascii="Arial" w:hAnsi="Arial" w:eastAsia="Arial" w:cs="Arial"/>
                <w:sz w:val="22"/>
                <w:szCs w:val="22"/>
                <w:bdr w:val="nil"/>
                <w:lang w:val="de-DE"/>
              </w:rPr>
              <w:t xml:space="preserve"> </w:t>
            </w:r>
          </w:p>
        </w:tc>
      </w:tr>
      <w:tr w:rsidRPr="00046FAE" w:rsidR="00D8651C" w:rsidTr="00C0685F" w14:paraId="62C488BD" w14:textId="77777777">
        <w:tc>
          <w:tcPr>
            <w:tcW w:w="9640" w:type="dxa"/>
            <w:shd w:val="clear" w:color="auto" w:fill="auto"/>
            <w:tcMar>
              <w:left w:w="108" w:type="dxa"/>
            </w:tcMar>
          </w:tcPr>
          <w:p w:rsidRPr="006C29B1" w:rsidR="002F3939" w:rsidP="005B4190" w:rsidRDefault="0078680C" w14:paraId="32CFA39D" w14:textId="03BE9F2A">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83821651" w:id="28"/>
            <w:r>
              <w:rPr>
                <w:rFonts w:ascii="Arial" w:hAnsi="Arial" w:eastAsia="Arial" w:cs="Arial"/>
                <w:sz w:val="22"/>
                <w:szCs w:val="22"/>
                <w:bdr w:val="nil"/>
                <w:lang w:val="de-DE"/>
              </w:rPr>
              <w:t xml:space="preserve">Personen, die in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Pr="002B08F2" w:rsidR="002B08F2">
              <w:rPr>
                <w:rFonts w:ascii="Arial" w:hAnsi="Arial" w:eastAsia="Arial" w:cs="Arial"/>
                <w:sz w:val="22"/>
                <w:szCs w:val="22"/>
                <w:bdr w:val="nil"/>
                <w:lang w:val="de-DE"/>
              </w:rPr>
              <w:t xml:space="preserve">Führungspositionen </w:t>
            </w:r>
            <w:r>
              <w:rPr>
                <w:rFonts w:ascii="Arial" w:hAnsi="Arial" w:eastAsia="Arial" w:cs="Arial"/>
                <w:sz w:val="22"/>
                <w:szCs w:val="22"/>
                <w:bdr w:val="nil"/>
                <w:lang w:val="de-DE"/>
              </w:rPr>
              <w:t xml:space="preserve">bekleiden, sollten im Rahmen transparenter, kompetenzbasierter und partizipatorischer Verfahren ausgewählt und ernannt werden. Die Exekutive sollte </w:t>
            </w:r>
            <w:r w:rsidR="002B08F2">
              <w:rPr>
                <w:rFonts w:ascii="Arial" w:hAnsi="Arial" w:eastAsia="Arial" w:cs="Arial"/>
                <w:sz w:val="22"/>
                <w:szCs w:val="22"/>
                <w:bdr w:val="nil"/>
                <w:lang w:val="de-DE"/>
              </w:rPr>
              <w:t>in keinem Stadium des Auswahlprozesses</w:t>
            </w:r>
            <w:r>
              <w:rPr>
                <w:rFonts w:ascii="Arial" w:hAnsi="Arial" w:eastAsia="Arial" w:cs="Arial"/>
                <w:sz w:val="22"/>
                <w:szCs w:val="22"/>
                <w:bdr w:val="nil"/>
                <w:lang w:val="de-DE"/>
              </w:rPr>
              <w:t xml:space="preserve"> einen entscheidenden Einfluss </w:t>
            </w:r>
            <w:r w:rsidR="00A90B4B">
              <w:rPr>
                <w:rFonts w:ascii="Arial" w:hAnsi="Arial" w:eastAsia="Arial" w:cs="Arial"/>
                <w:sz w:val="22"/>
                <w:szCs w:val="22"/>
                <w:bdr w:val="nil"/>
                <w:lang w:val="de-DE"/>
              </w:rPr>
              <w:t>haben</w:t>
            </w:r>
            <w:r>
              <w:rPr>
                <w:rFonts w:ascii="Arial" w:hAnsi="Arial" w:eastAsia="Arial" w:cs="Arial"/>
                <w:sz w:val="22"/>
                <w:szCs w:val="22"/>
                <w:bdr w:val="nil"/>
                <w:lang w:val="de-DE"/>
              </w:rPr>
              <w:t>.</w:t>
            </w:r>
            <w:bookmarkEnd w:id="28"/>
            <w:r>
              <w:rPr>
                <w:rFonts w:ascii="Arial" w:hAnsi="Arial" w:eastAsia="Arial" w:cs="Arial"/>
                <w:sz w:val="22"/>
                <w:szCs w:val="22"/>
                <w:bdr w:val="nil"/>
                <w:lang w:val="de-DE"/>
              </w:rPr>
              <w:t xml:space="preserve"> </w:t>
            </w:r>
          </w:p>
        </w:tc>
      </w:tr>
      <w:tr w:rsidRPr="00046FAE" w:rsidR="00D8651C" w:rsidTr="00C0685F" w14:paraId="32E09DD6" w14:textId="77777777">
        <w:tc>
          <w:tcPr>
            <w:tcW w:w="9640" w:type="dxa"/>
            <w:shd w:val="clear" w:color="auto" w:fill="auto"/>
            <w:tcMar>
              <w:left w:w="108" w:type="dxa"/>
            </w:tcMar>
          </w:tcPr>
          <w:p w:rsidRPr="006C29B1" w:rsidR="002F3939" w:rsidP="005B4190" w:rsidRDefault="0078680C" w14:paraId="28BE982C" w14:textId="5412A654">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r>
              <w:rPr>
                <w:rFonts w:ascii="Arial" w:hAnsi="Arial" w:eastAsia="Arial" w:cs="Arial"/>
                <w:sz w:val="22"/>
                <w:szCs w:val="22"/>
                <w:bdr w:val="nil"/>
                <w:lang w:val="de-DE"/>
              </w:rPr>
              <w:t xml:space="preserve">Personen, die Führungspositionen bekleiden, sollten </w:t>
            </w:r>
            <w:r w:rsidR="002B08F2">
              <w:rPr>
                <w:rFonts w:ascii="Arial" w:hAnsi="Arial" w:eastAsia="Arial" w:cs="Arial"/>
                <w:sz w:val="22"/>
                <w:szCs w:val="22"/>
                <w:bdr w:val="nil"/>
                <w:lang w:val="de-DE"/>
              </w:rPr>
              <w:t xml:space="preserve">über </w:t>
            </w:r>
            <w:r>
              <w:rPr>
                <w:rFonts w:ascii="Arial" w:hAnsi="Arial" w:eastAsia="Arial" w:cs="Arial"/>
                <w:sz w:val="22"/>
                <w:szCs w:val="22"/>
                <w:bdr w:val="nil"/>
                <w:lang w:val="de-DE"/>
              </w:rPr>
              <w:t xml:space="preserve">eine </w:t>
            </w:r>
            <w:r w:rsidR="00A90B4B">
              <w:rPr>
                <w:rFonts w:ascii="Arial" w:hAnsi="Arial" w:eastAsia="Arial" w:cs="Arial"/>
                <w:sz w:val="22"/>
                <w:szCs w:val="22"/>
                <w:bdr w:val="nil"/>
                <w:lang w:val="de-DE"/>
              </w:rPr>
              <w:t>funktionale I</w:t>
            </w:r>
            <w:r>
              <w:rPr>
                <w:rFonts w:ascii="Arial" w:hAnsi="Arial" w:eastAsia="Arial" w:cs="Arial"/>
                <w:sz w:val="22"/>
                <w:szCs w:val="22"/>
                <w:bdr w:val="nil"/>
                <w:lang w:val="de-DE"/>
              </w:rPr>
              <w:t xml:space="preserve">mmunität </w:t>
            </w:r>
            <w:r w:rsidR="002B08F2">
              <w:rPr>
                <w:rFonts w:ascii="Arial" w:hAnsi="Arial" w:eastAsia="Arial" w:cs="Arial"/>
                <w:sz w:val="22"/>
                <w:szCs w:val="22"/>
                <w:bdr w:val="nil"/>
                <w:lang w:val="de-DE"/>
              </w:rPr>
              <w:t>verfügen</w:t>
            </w:r>
            <w:r>
              <w:rPr>
                <w:rFonts w:ascii="Arial" w:hAnsi="Arial" w:eastAsia="Arial" w:cs="Arial"/>
                <w:sz w:val="22"/>
                <w:szCs w:val="22"/>
                <w:bdr w:val="nil"/>
                <w:lang w:val="de-DE"/>
              </w:rPr>
              <w:t>, vor Drohungen und Zwang geschützt sein und über angemessene Absicherungen gegen willkürliche Entlassung oder willkürliche Nichtverlängerung der Ernennung</w:t>
            </w:r>
            <w:r w:rsidR="002B08F2">
              <w:rPr>
                <w:rFonts w:ascii="Arial" w:hAnsi="Arial" w:eastAsia="Arial" w:cs="Arial"/>
                <w:sz w:val="22"/>
                <w:szCs w:val="22"/>
                <w:bdr w:val="nil"/>
                <w:lang w:val="de-DE"/>
              </w:rPr>
              <w:t xml:space="preserve"> verfügen</w:t>
            </w:r>
            <w:r>
              <w:rPr>
                <w:rFonts w:ascii="Arial" w:hAnsi="Arial" w:eastAsia="Arial" w:cs="Arial"/>
                <w:sz w:val="22"/>
                <w:szCs w:val="22"/>
                <w:bdr w:val="nil"/>
                <w:lang w:val="de-DE"/>
              </w:rPr>
              <w:t>, wenn diese normalerweise erfolgen würde.</w:t>
            </w:r>
          </w:p>
        </w:tc>
      </w:tr>
      <w:tr w:rsidRPr="00046FAE" w:rsidR="00D8651C" w:rsidTr="00C0685F" w14:paraId="2674445B" w14:textId="77777777">
        <w:tc>
          <w:tcPr>
            <w:tcW w:w="9640" w:type="dxa"/>
            <w:shd w:val="clear" w:color="auto" w:fill="auto"/>
            <w:tcMar>
              <w:left w:w="108" w:type="dxa"/>
            </w:tcMar>
          </w:tcPr>
          <w:p w:rsidRPr="006C29B1" w:rsidR="006C29B1" w:rsidP="006C29B1" w:rsidRDefault="006C29B1" w14:paraId="6E13EA04" w14:textId="77777777">
            <w:pPr>
              <w:tabs>
                <w:tab w:val="left" w:pos="709"/>
              </w:tabs>
              <w:spacing w:before="100" w:beforeAutospacing="1" w:after="100" w:afterAutospacing="1" w:line="240" w:lineRule="exact"/>
              <w:ind w:left="360"/>
              <w:jc w:val="both"/>
              <w:rPr>
                <w:rFonts w:ascii="Arial" w:hAnsi="Arial" w:cs="Arial"/>
                <w:sz w:val="22"/>
                <w:szCs w:val="22"/>
                <w:lang w:val="de-DE"/>
              </w:rPr>
            </w:pPr>
          </w:p>
          <w:p w:rsidRPr="006C29B1" w:rsidR="002F3939" w:rsidP="002923D7" w:rsidRDefault="002B08F2" w14:paraId="0D057C0A" w14:textId="73580881">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r>
              <w:rPr>
                <w:rFonts w:ascii="Arial" w:hAnsi="Arial" w:eastAsia="Arial" w:cs="Arial"/>
                <w:sz w:val="22"/>
                <w:szCs w:val="22"/>
                <w:bdr w:val="nil"/>
                <w:lang w:val="de-DE"/>
              </w:rPr>
              <w:lastRenderedPageBreak/>
              <w:t>Es sollte gesetzlich geregelt sein</w:t>
            </w:r>
            <w:r w:rsidR="00A90B4B">
              <w:rPr>
                <w:rFonts w:ascii="Arial" w:hAnsi="Arial" w:eastAsia="Arial" w:cs="Arial"/>
                <w:sz w:val="22"/>
                <w:szCs w:val="22"/>
                <w:bdr w:val="nil"/>
                <w:lang w:val="de-DE"/>
              </w:rPr>
              <w:t xml:space="preserve">, </w:t>
            </w:r>
            <w:r w:rsidR="00C90BFE">
              <w:rPr>
                <w:rFonts w:ascii="Arial" w:hAnsi="Arial" w:eastAsia="Arial" w:cs="Arial"/>
                <w:sz w:val="22"/>
                <w:szCs w:val="22"/>
                <w:bdr w:val="nil"/>
                <w:lang w:val="de-DE"/>
              </w:rPr>
              <w:t>welche</w:t>
            </w:r>
            <w:r w:rsidR="0078680C">
              <w:rPr>
                <w:rFonts w:ascii="Arial" w:hAnsi="Arial" w:eastAsia="Arial" w:cs="Arial"/>
                <w:sz w:val="22"/>
                <w:szCs w:val="22"/>
                <w:bdr w:val="nil"/>
                <w:lang w:val="de-DE"/>
              </w:rPr>
              <w:t xml:space="preserve"> Tätigkeiten und </w:t>
            </w:r>
            <w:r w:rsidR="00C90BFE">
              <w:rPr>
                <w:rFonts w:ascii="Arial" w:hAnsi="Arial" w:eastAsia="Arial" w:cs="Arial"/>
                <w:sz w:val="22"/>
                <w:szCs w:val="22"/>
                <w:bdr w:val="nil"/>
                <w:lang w:val="de-DE"/>
              </w:rPr>
              <w:t>Mitgliedschaften</w:t>
            </w:r>
            <w:r w:rsidR="0078680C">
              <w:rPr>
                <w:rFonts w:ascii="Arial" w:hAnsi="Arial" w:eastAsia="Arial" w:cs="Arial"/>
                <w:sz w:val="22"/>
                <w:szCs w:val="22"/>
                <w:bdr w:val="nil"/>
                <w:lang w:val="de-DE"/>
              </w:rPr>
              <w:t xml:space="preserve"> mit dem Bekleiden von Führungspositionen unvereinbar sind. </w:t>
            </w:r>
          </w:p>
        </w:tc>
      </w:tr>
      <w:tr w:rsidRPr="00C0685F" w:rsidR="00D8651C" w:rsidTr="00C0685F" w14:paraId="22D6BA35" w14:textId="77777777">
        <w:tc>
          <w:tcPr>
            <w:tcW w:w="9640" w:type="dxa"/>
            <w:shd w:val="clear" w:color="auto" w:fill="auto"/>
            <w:tcMar>
              <w:left w:w="108" w:type="dxa"/>
            </w:tcMar>
          </w:tcPr>
          <w:p w:rsidRPr="00C0685F" w:rsidR="002F3939" w:rsidP="009859D7" w:rsidRDefault="0078680C" w14:paraId="556F1DCA" w14:textId="76BDF43F">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679" w:id="29"/>
            <w:r>
              <w:rPr>
                <w:rFonts w:ascii="Arial" w:hAnsi="Arial" w:eastAsia="Arial" w:cs="Arial"/>
                <w:sz w:val="22"/>
                <w:szCs w:val="22"/>
                <w:bdr w:val="nil"/>
                <w:lang w:val="de-DE"/>
              </w:rPr>
              <w:lastRenderedPageBreak/>
              <w:t>Die Personen, die Führungspositionen bekleiden, sollten klar definierte Aufgabenbereiche haben, angemessen vergütet und für eine angemessene Zeitspanne ernannt werden.</w:t>
            </w:r>
            <w:bookmarkEnd w:id="29"/>
          </w:p>
        </w:tc>
      </w:tr>
      <w:tr w:rsidRPr="00C0685F" w:rsidR="00D8651C" w:rsidTr="00C0685F" w14:paraId="2C1AFC63" w14:textId="77777777">
        <w:tc>
          <w:tcPr>
            <w:tcW w:w="9640" w:type="dxa"/>
            <w:shd w:val="clear" w:color="auto" w:fill="auto"/>
            <w:tcMar>
              <w:left w:w="108" w:type="dxa"/>
            </w:tcMar>
          </w:tcPr>
          <w:p w:rsidRPr="00C0685F" w:rsidR="002F3939" w:rsidP="005B4190" w:rsidRDefault="00781974" w14:paraId="22B24558" w14:textId="77919314">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696" w:id="30"/>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unabhängig über ihre interne Struktur und über die Verwendung ihrer </w:t>
            </w:r>
            <w:r w:rsidR="00C90BFE">
              <w:rPr>
                <w:rFonts w:ascii="Arial" w:hAnsi="Arial" w:eastAsia="Arial" w:cs="Arial"/>
                <w:sz w:val="22"/>
                <w:szCs w:val="22"/>
                <w:bdr w:val="nil"/>
                <w:lang w:val="de-DE"/>
              </w:rPr>
              <w:t xml:space="preserve">Ressourcen </w:t>
            </w:r>
            <w:r w:rsidR="0078680C">
              <w:rPr>
                <w:rFonts w:ascii="Arial" w:hAnsi="Arial" w:eastAsia="Arial" w:cs="Arial"/>
                <w:sz w:val="22"/>
                <w:szCs w:val="22"/>
                <w:bdr w:val="nil"/>
                <w:lang w:val="de-DE"/>
              </w:rPr>
              <w:t>entscheiden können, die Befugnis haben, ihr eigenes Personal einzustellen und zu ernennen, und über eigene</w:t>
            </w:r>
            <w:r w:rsidR="002B08F2">
              <w:rPr>
                <w:rFonts w:ascii="Arial" w:hAnsi="Arial" w:eastAsia="Arial" w:cs="Arial"/>
                <w:sz w:val="22"/>
                <w:szCs w:val="22"/>
                <w:bdr w:val="nil"/>
                <w:lang w:val="de-DE"/>
              </w:rPr>
              <w:t>, ihren Bedürfnissen entsprechende</w:t>
            </w:r>
            <w:r w:rsidR="0078680C">
              <w:rPr>
                <w:rFonts w:ascii="Arial" w:hAnsi="Arial" w:eastAsia="Arial" w:cs="Arial"/>
                <w:sz w:val="22"/>
                <w:szCs w:val="22"/>
                <w:bdr w:val="nil"/>
                <w:lang w:val="de-DE"/>
              </w:rPr>
              <w:t xml:space="preserve"> Räumlichkeiten verfügen.</w:t>
            </w:r>
            <w:bookmarkEnd w:id="30"/>
            <w:r w:rsidR="0078680C">
              <w:rPr>
                <w:rFonts w:ascii="Arial" w:hAnsi="Arial" w:eastAsia="Arial" w:cs="Arial"/>
                <w:sz w:val="22"/>
                <w:szCs w:val="22"/>
                <w:bdr w:val="nil"/>
                <w:lang w:val="de-DE"/>
              </w:rPr>
              <w:t xml:space="preserve"> </w:t>
            </w:r>
          </w:p>
        </w:tc>
      </w:tr>
      <w:tr w:rsidRPr="00046FAE" w:rsidR="00D8651C" w:rsidTr="00C0685F" w14:paraId="21AC7CCB" w14:textId="77777777">
        <w:tc>
          <w:tcPr>
            <w:tcW w:w="9640" w:type="dxa"/>
            <w:shd w:val="clear" w:color="auto" w:fill="auto"/>
            <w:tcMar>
              <w:left w:w="108" w:type="dxa"/>
            </w:tcMar>
          </w:tcPr>
          <w:p w:rsidRPr="006C29B1" w:rsidR="002F3939" w:rsidP="009859D7" w:rsidRDefault="00781974" w14:paraId="22513D61" w14:textId="19A84E41">
            <w:pPr>
              <w:numPr>
                <w:ilvl w:val="0"/>
                <w:numId w:val="1"/>
              </w:numPr>
              <w:tabs>
                <w:tab w:val="left" w:pos="709"/>
              </w:tabs>
              <w:spacing w:before="100" w:beforeAutospacing="1" w:after="100" w:afterAutospacing="1" w:line="240" w:lineRule="exact"/>
              <w:jc w:val="both"/>
              <w:rPr>
                <w:rFonts w:ascii="Arial" w:hAnsi="Arial" w:cs="Arial"/>
                <w:sz w:val="22"/>
                <w:szCs w:val="22"/>
                <w:lang w:val="de-DE" w:eastAsia="en-US"/>
              </w:rPr>
            </w:pPr>
            <w:r>
              <w:rPr>
                <w:rFonts w:ascii="Arial" w:hAnsi="Arial" w:eastAsia="Arial" w:cs="Arial"/>
                <w:sz w:val="22"/>
                <w:szCs w:val="22"/>
                <w:bdr w:val="nil"/>
                <w:lang w:val="de-DE" w:eastAsia="en-US"/>
              </w:rPr>
              <w:t>Gleichheitsstelle</w:t>
            </w:r>
            <w:r w:rsidR="0078680C">
              <w:rPr>
                <w:rFonts w:ascii="Arial" w:hAnsi="Arial" w:eastAsia="Arial" w:cs="Arial"/>
                <w:sz w:val="22"/>
                <w:szCs w:val="22"/>
                <w:bdr w:val="nil"/>
                <w:lang w:val="de-DE" w:eastAsia="en-US"/>
              </w:rPr>
              <w:t xml:space="preserve">n sollten ausreichend Personal und Finanzmittel erhalten, damit sie alle ihre </w:t>
            </w:r>
            <w:r w:rsidR="00C90BFE">
              <w:rPr>
                <w:rFonts w:ascii="Arial" w:hAnsi="Arial" w:eastAsia="Arial" w:cs="Arial"/>
                <w:sz w:val="22"/>
                <w:szCs w:val="22"/>
                <w:bdr w:val="nil"/>
                <w:lang w:val="de-DE" w:eastAsia="en-US"/>
              </w:rPr>
              <w:t>Funktione</w:t>
            </w:r>
            <w:r w:rsidR="0078680C">
              <w:rPr>
                <w:rFonts w:ascii="Arial" w:hAnsi="Arial" w:eastAsia="Arial" w:cs="Arial"/>
                <w:sz w:val="22"/>
                <w:szCs w:val="22"/>
                <w:bdr w:val="nil"/>
                <w:lang w:val="de-DE" w:eastAsia="en-US"/>
              </w:rPr>
              <w:t xml:space="preserve">n und </w:t>
            </w:r>
            <w:r w:rsidR="002A166A">
              <w:rPr>
                <w:rFonts w:ascii="Arial" w:hAnsi="Arial" w:eastAsia="Arial" w:cs="Arial"/>
                <w:sz w:val="22"/>
                <w:szCs w:val="22"/>
                <w:bdr w:val="nil"/>
                <w:lang w:val="de-DE" w:eastAsia="en-US"/>
              </w:rPr>
              <w:t>Kompetenz</w:t>
            </w:r>
            <w:r w:rsidR="0078680C">
              <w:rPr>
                <w:rFonts w:ascii="Arial" w:hAnsi="Arial" w:eastAsia="Arial" w:cs="Arial"/>
                <w:sz w:val="22"/>
                <w:szCs w:val="22"/>
                <w:bdr w:val="nil"/>
                <w:lang w:val="de-DE" w:eastAsia="en-US"/>
              </w:rPr>
              <w:t xml:space="preserve">en </w:t>
            </w:r>
            <w:r w:rsidR="0070041C">
              <w:rPr>
                <w:rFonts w:ascii="Arial" w:hAnsi="Arial" w:eastAsia="Arial" w:cs="Arial"/>
                <w:sz w:val="22"/>
                <w:szCs w:val="22"/>
                <w:bdr w:val="nil"/>
                <w:lang w:val="de-DE" w:eastAsia="en-US"/>
              </w:rPr>
              <w:t>mit greifbare</w:t>
            </w:r>
            <w:r w:rsidR="002B08F2">
              <w:rPr>
                <w:rFonts w:ascii="Arial" w:hAnsi="Arial" w:eastAsia="Arial" w:cs="Arial"/>
                <w:sz w:val="22"/>
                <w:szCs w:val="22"/>
                <w:bdr w:val="nil"/>
                <w:lang w:val="de-DE" w:eastAsia="en-US"/>
              </w:rPr>
              <w:t>n</w:t>
            </w:r>
            <w:r w:rsidR="0070041C">
              <w:rPr>
                <w:rFonts w:ascii="Arial" w:hAnsi="Arial" w:eastAsia="Arial" w:cs="Arial"/>
                <w:sz w:val="22"/>
                <w:szCs w:val="22"/>
                <w:bdr w:val="nil"/>
                <w:lang w:val="de-DE" w:eastAsia="en-US"/>
              </w:rPr>
              <w:t xml:space="preserve"> Fortschritten</w:t>
            </w:r>
            <w:r w:rsidR="00C90BFE">
              <w:rPr>
                <w:rFonts w:ascii="Arial" w:hAnsi="Arial" w:eastAsia="Arial" w:cs="Arial"/>
                <w:sz w:val="22"/>
                <w:szCs w:val="22"/>
                <w:bdr w:val="nil"/>
                <w:lang w:val="de-DE" w:eastAsia="en-US"/>
              </w:rPr>
              <w:t xml:space="preserve"> </w:t>
            </w:r>
            <w:r w:rsidR="0078680C">
              <w:rPr>
                <w:rFonts w:ascii="Arial" w:hAnsi="Arial" w:eastAsia="Arial" w:cs="Arial"/>
                <w:sz w:val="22"/>
                <w:szCs w:val="22"/>
                <w:bdr w:val="nil"/>
                <w:lang w:val="de-DE" w:eastAsia="en-US"/>
              </w:rPr>
              <w:t xml:space="preserve">umsetzen können. Sie sollten einen separaten Haushalt oder </w:t>
            </w:r>
            <w:r w:rsidR="002B08F2">
              <w:rPr>
                <w:rFonts w:ascii="Arial" w:hAnsi="Arial" w:eastAsia="Arial" w:cs="Arial"/>
                <w:sz w:val="22"/>
                <w:szCs w:val="22"/>
                <w:bdr w:val="nil"/>
                <w:lang w:val="de-DE" w:eastAsia="en-US"/>
              </w:rPr>
              <w:t xml:space="preserve">eine separate </w:t>
            </w:r>
            <w:r w:rsidR="0078680C">
              <w:rPr>
                <w:rFonts w:ascii="Arial" w:hAnsi="Arial" w:eastAsia="Arial" w:cs="Arial"/>
                <w:sz w:val="22"/>
                <w:szCs w:val="22"/>
                <w:bdr w:val="nil"/>
                <w:lang w:val="de-DE" w:eastAsia="en-US"/>
              </w:rPr>
              <w:t>Haushalts</w:t>
            </w:r>
            <w:r w:rsidR="00C90BFE">
              <w:rPr>
                <w:rFonts w:ascii="Arial" w:hAnsi="Arial" w:eastAsia="Arial" w:cs="Arial"/>
                <w:sz w:val="22"/>
                <w:szCs w:val="22"/>
                <w:bdr w:val="nil"/>
                <w:lang w:val="de-DE" w:eastAsia="en-US"/>
              </w:rPr>
              <w:t>linie</w:t>
            </w:r>
            <w:r w:rsidR="0078680C">
              <w:rPr>
                <w:rFonts w:ascii="Arial" w:hAnsi="Arial" w:eastAsia="Arial" w:cs="Arial"/>
                <w:sz w:val="22"/>
                <w:szCs w:val="22"/>
                <w:bdr w:val="nil"/>
                <w:lang w:val="de-DE" w:eastAsia="en-US"/>
              </w:rPr>
              <w:t xml:space="preserve"> haben und ihre Finanzierung sollte der jährlichen Genehmigung durch das Parlament unterliegen. Es </w:t>
            </w:r>
            <w:r w:rsidR="00C90BFE">
              <w:rPr>
                <w:rFonts w:ascii="Arial" w:hAnsi="Arial" w:eastAsia="Arial" w:cs="Arial"/>
                <w:sz w:val="22"/>
                <w:szCs w:val="22"/>
                <w:bdr w:val="nil"/>
                <w:lang w:val="de-DE" w:eastAsia="en-US"/>
              </w:rPr>
              <w:t xml:space="preserve">sollte </w:t>
            </w:r>
            <w:r w:rsidR="0078680C">
              <w:rPr>
                <w:rFonts w:ascii="Arial" w:hAnsi="Arial" w:eastAsia="Arial" w:cs="Arial"/>
                <w:sz w:val="22"/>
                <w:szCs w:val="22"/>
                <w:bdr w:val="nil"/>
                <w:lang w:val="de-DE" w:eastAsia="en-US"/>
              </w:rPr>
              <w:t xml:space="preserve">keine willkürliche oder unverhältnismäßige Reduzierung des Haushalts der </w:t>
            </w:r>
            <w:r>
              <w:rPr>
                <w:rFonts w:ascii="Arial" w:hAnsi="Arial" w:eastAsia="Arial" w:cs="Arial"/>
                <w:sz w:val="22"/>
                <w:szCs w:val="22"/>
                <w:bdr w:val="nil"/>
                <w:lang w:val="de-DE" w:eastAsia="en-US"/>
              </w:rPr>
              <w:t>Gleichheitsstelle</w:t>
            </w:r>
            <w:r w:rsidR="0078680C">
              <w:rPr>
                <w:rFonts w:ascii="Arial" w:hAnsi="Arial" w:eastAsia="Arial" w:cs="Arial"/>
                <w:sz w:val="22"/>
                <w:szCs w:val="22"/>
                <w:bdr w:val="nil"/>
                <w:lang w:val="de-DE" w:eastAsia="en-US"/>
              </w:rPr>
              <w:t xml:space="preserve"> geben. Werden das Mandat, die </w:t>
            </w:r>
            <w:r w:rsidR="00C90BFE">
              <w:rPr>
                <w:rFonts w:ascii="Arial" w:hAnsi="Arial" w:eastAsia="Arial" w:cs="Arial"/>
                <w:sz w:val="22"/>
                <w:szCs w:val="22"/>
                <w:bdr w:val="nil"/>
                <w:lang w:val="de-DE" w:eastAsia="en-US"/>
              </w:rPr>
              <w:t xml:space="preserve">Funktionen </w:t>
            </w:r>
            <w:r w:rsidR="0078680C">
              <w:rPr>
                <w:rFonts w:ascii="Arial" w:hAnsi="Arial" w:eastAsia="Arial" w:cs="Arial"/>
                <w:sz w:val="22"/>
                <w:szCs w:val="22"/>
                <w:bdr w:val="nil"/>
                <w:lang w:val="de-DE" w:eastAsia="en-US"/>
              </w:rPr>
              <w:t xml:space="preserve">oder </w:t>
            </w:r>
            <w:r w:rsidR="002A166A">
              <w:rPr>
                <w:rFonts w:ascii="Arial" w:hAnsi="Arial" w:eastAsia="Arial" w:cs="Arial"/>
                <w:sz w:val="22"/>
                <w:szCs w:val="22"/>
                <w:bdr w:val="nil"/>
                <w:lang w:val="de-DE" w:eastAsia="en-US"/>
              </w:rPr>
              <w:t>Kompetenz</w:t>
            </w:r>
            <w:r w:rsidR="0078680C">
              <w:rPr>
                <w:rFonts w:ascii="Arial" w:hAnsi="Arial" w:eastAsia="Arial" w:cs="Arial"/>
                <w:sz w:val="22"/>
                <w:szCs w:val="22"/>
                <w:bdr w:val="nil"/>
                <w:lang w:val="de-DE" w:eastAsia="en-US"/>
              </w:rPr>
              <w:t xml:space="preserve">en der </w:t>
            </w:r>
            <w:r>
              <w:rPr>
                <w:rFonts w:ascii="Arial" w:hAnsi="Arial" w:eastAsia="Arial" w:cs="Arial"/>
                <w:sz w:val="22"/>
                <w:szCs w:val="22"/>
                <w:bdr w:val="nil"/>
                <w:lang w:val="de-DE" w:eastAsia="en-US"/>
              </w:rPr>
              <w:t>Gleichheitsstelle</w:t>
            </w:r>
            <w:r w:rsidR="0078680C">
              <w:rPr>
                <w:rFonts w:ascii="Arial" w:hAnsi="Arial" w:eastAsia="Arial" w:cs="Arial"/>
                <w:sz w:val="22"/>
                <w:szCs w:val="22"/>
                <w:bdr w:val="nil"/>
                <w:lang w:val="de-DE" w:eastAsia="en-US"/>
              </w:rPr>
              <w:t xml:space="preserve"> ausgeweitet, sollte dies mit ihrem </w:t>
            </w:r>
            <w:r w:rsidR="008F4296">
              <w:rPr>
                <w:rFonts w:ascii="Arial" w:hAnsi="Arial" w:eastAsia="Arial" w:cs="Arial"/>
                <w:sz w:val="22"/>
                <w:szCs w:val="22"/>
                <w:bdr w:val="nil"/>
                <w:lang w:val="de-DE" w:eastAsia="en-US"/>
              </w:rPr>
              <w:t>Gleichheit</w:t>
            </w:r>
            <w:r w:rsidR="0078680C">
              <w:rPr>
                <w:rFonts w:ascii="Arial" w:hAnsi="Arial" w:eastAsia="Arial" w:cs="Arial"/>
                <w:sz w:val="22"/>
                <w:szCs w:val="22"/>
                <w:bdr w:val="nil"/>
                <w:lang w:val="de-DE" w:eastAsia="en-US"/>
              </w:rPr>
              <w:t>smandat vereinbar sein und mit einer zusätzlichen Finanzierung einhergehen.</w:t>
            </w:r>
          </w:p>
        </w:tc>
      </w:tr>
      <w:tr w:rsidRPr="00046FAE" w:rsidR="00D8651C" w:rsidTr="00C0685F" w14:paraId="3088EAE2" w14:textId="77777777">
        <w:tc>
          <w:tcPr>
            <w:tcW w:w="9640" w:type="dxa"/>
            <w:shd w:val="clear" w:color="auto" w:fill="auto"/>
            <w:tcMar>
              <w:left w:w="108" w:type="dxa"/>
            </w:tcMar>
          </w:tcPr>
          <w:p w:rsidRPr="006C29B1" w:rsidR="002F3939" w:rsidP="009D4FD9" w:rsidRDefault="00781974" w14:paraId="713C4751" w14:textId="0A143E31">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83821711" w:id="31"/>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das Recht haben, </w:t>
            </w:r>
            <w:r w:rsidR="002B08F2">
              <w:rPr>
                <w:rFonts w:ascii="Arial" w:hAnsi="Arial" w:eastAsia="Arial" w:cs="Arial"/>
                <w:sz w:val="22"/>
                <w:szCs w:val="22"/>
                <w:bdr w:val="nil"/>
                <w:lang w:val="de-DE"/>
              </w:rPr>
              <w:t>in</w:t>
            </w:r>
            <w:r w:rsidRPr="002B08F2" w:rsidR="002B08F2">
              <w:rPr>
                <w:rFonts w:ascii="Arial" w:hAnsi="Arial" w:eastAsia="Arial" w:cs="Arial"/>
                <w:sz w:val="22"/>
                <w:szCs w:val="22"/>
                <w:bdr w:val="nil"/>
                <w:lang w:val="de-DE"/>
              </w:rPr>
              <w:t xml:space="preserve"> offene</w:t>
            </w:r>
            <w:r w:rsidR="002B08F2">
              <w:rPr>
                <w:rFonts w:ascii="Arial" w:hAnsi="Arial" w:eastAsia="Arial" w:cs="Arial"/>
                <w:sz w:val="22"/>
                <w:szCs w:val="22"/>
                <w:bdr w:val="nil"/>
                <w:lang w:val="de-DE"/>
              </w:rPr>
              <w:t>r</w:t>
            </w:r>
            <w:r w:rsidRPr="002B08F2" w:rsidR="002B08F2">
              <w:rPr>
                <w:rFonts w:ascii="Arial" w:hAnsi="Arial" w:eastAsia="Arial" w:cs="Arial"/>
                <w:sz w:val="22"/>
                <w:szCs w:val="22"/>
                <w:bdr w:val="nil"/>
                <w:lang w:val="de-DE"/>
              </w:rPr>
              <w:t xml:space="preserve"> und transparente</w:t>
            </w:r>
            <w:r w:rsidR="002B08F2">
              <w:rPr>
                <w:rFonts w:ascii="Arial" w:hAnsi="Arial" w:eastAsia="Arial" w:cs="Arial"/>
                <w:sz w:val="22"/>
                <w:szCs w:val="22"/>
                <w:bdr w:val="nil"/>
                <w:lang w:val="de-DE"/>
              </w:rPr>
              <w:t>r</w:t>
            </w:r>
            <w:r w:rsidRPr="002B08F2" w:rsidR="002B08F2">
              <w:rPr>
                <w:rFonts w:ascii="Arial" w:hAnsi="Arial" w:eastAsia="Arial" w:cs="Arial"/>
                <w:sz w:val="22"/>
                <w:szCs w:val="22"/>
                <w:bdr w:val="nil"/>
                <w:lang w:val="de-DE"/>
              </w:rPr>
              <w:t xml:space="preserve"> Weise innerhalb und außerhalb des Landes zusätzliche Geldmittel </w:t>
            </w:r>
            <w:r w:rsidR="0078680C">
              <w:rPr>
                <w:rFonts w:ascii="Arial" w:hAnsi="Arial" w:eastAsia="Arial" w:cs="Arial"/>
                <w:sz w:val="22"/>
                <w:szCs w:val="22"/>
                <w:bdr w:val="nil"/>
                <w:lang w:val="de-DE"/>
              </w:rPr>
              <w:t xml:space="preserve">für die Durchführung ihrer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 xml:space="preserve">n </w:t>
            </w:r>
            <w:r w:rsidR="00490415">
              <w:rPr>
                <w:rFonts w:ascii="Arial" w:hAnsi="Arial" w:eastAsia="Arial" w:cs="Arial"/>
                <w:sz w:val="22"/>
                <w:szCs w:val="22"/>
                <w:bdr w:val="nil"/>
                <w:lang w:val="de-DE"/>
              </w:rPr>
              <w:t xml:space="preserve">aus </w:t>
            </w:r>
            <w:r w:rsidR="0078680C">
              <w:rPr>
                <w:rFonts w:ascii="Arial" w:hAnsi="Arial" w:eastAsia="Arial" w:cs="Arial"/>
                <w:sz w:val="22"/>
                <w:szCs w:val="22"/>
                <w:bdr w:val="nil"/>
                <w:lang w:val="de-DE"/>
              </w:rPr>
              <w:t>andere</w:t>
            </w:r>
            <w:r w:rsidR="00490415">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Quellen als de</w:t>
            </w:r>
            <w:r w:rsidR="00490415">
              <w:rPr>
                <w:rFonts w:ascii="Arial" w:hAnsi="Arial" w:eastAsia="Arial" w:cs="Arial"/>
                <w:sz w:val="22"/>
                <w:szCs w:val="22"/>
                <w:bdr w:val="nil"/>
                <w:lang w:val="de-DE"/>
              </w:rPr>
              <w:t>m</w:t>
            </w:r>
            <w:r w:rsidR="0078680C">
              <w:rPr>
                <w:rFonts w:ascii="Arial" w:hAnsi="Arial" w:eastAsia="Arial" w:cs="Arial"/>
                <w:sz w:val="22"/>
                <w:szCs w:val="22"/>
                <w:bdr w:val="nil"/>
                <w:lang w:val="de-DE"/>
              </w:rPr>
              <w:t xml:space="preserve"> Staat zu generieren, </w:t>
            </w:r>
            <w:r w:rsidR="002B08F2">
              <w:rPr>
                <w:rFonts w:ascii="Arial" w:hAnsi="Arial" w:eastAsia="Arial" w:cs="Arial"/>
                <w:sz w:val="22"/>
                <w:szCs w:val="22"/>
                <w:bdr w:val="nil"/>
                <w:lang w:val="de-DE"/>
              </w:rPr>
              <w:t>solange sie sicherstellen</w:t>
            </w:r>
            <w:r w:rsidR="0078680C">
              <w:rPr>
                <w:rFonts w:ascii="Arial" w:hAnsi="Arial" w:eastAsia="Arial" w:cs="Arial"/>
                <w:sz w:val="22"/>
                <w:szCs w:val="22"/>
                <w:bdr w:val="nil"/>
                <w:lang w:val="de-DE"/>
              </w:rPr>
              <w:t xml:space="preserve">, dass </w:t>
            </w:r>
            <w:r w:rsidR="002B08F2">
              <w:rPr>
                <w:rFonts w:ascii="Arial" w:hAnsi="Arial" w:eastAsia="Arial" w:cs="Arial"/>
                <w:sz w:val="22"/>
                <w:szCs w:val="22"/>
                <w:bdr w:val="nil"/>
                <w:lang w:val="de-DE"/>
              </w:rPr>
              <w:t xml:space="preserve">dies </w:t>
            </w:r>
            <w:r w:rsidR="0078680C">
              <w:rPr>
                <w:rFonts w:ascii="Arial" w:hAnsi="Arial" w:eastAsia="Arial" w:cs="Arial"/>
                <w:sz w:val="22"/>
                <w:szCs w:val="22"/>
                <w:bdr w:val="nil"/>
                <w:lang w:val="de-DE"/>
              </w:rPr>
              <w:t xml:space="preserve">ihre Unabhängigkeit </w:t>
            </w:r>
            <w:r w:rsidR="002B08F2">
              <w:rPr>
                <w:rFonts w:ascii="Arial" w:hAnsi="Arial" w:eastAsia="Arial" w:cs="Arial"/>
                <w:sz w:val="22"/>
                <w:szCs w:val="22"/>
                <w:bdr w:val="nil"/>
                <w:lang w:val="de-DE"/>
              </w:rPr>
              <w:t xml:space="preserve">nicht </w:t>
            </w:r>
            <w:r w:rsidR="0078680C">
              <w:rPr>
                <w:rFonts w:ascii="Arial" w:hAnsi="Arial" w:eastAsia="Arial" w:cs="Arial"/>
                <w:sz w:val="22"/>
                <w:szCs w:val="22"/>
                <w:bdr w:val="nil"/>
                <w:lang w:val="de-DE"/>
              </w:rPr>
              <w:t>beeinträchtigt.</w:t>
            </w:r>
            <w:bookmarkEnd w:id="31"/>
            <w:r w:rsidR="0078680C">
              <w:rPr>
                <w:rFonts w:ascii="Arial" w:hAnsi="Arial" w:eastAsia="Arial" w:cs="Arial"/>
                <w:sz w:val="22"/>
                <w:szCs w:val="22"/>
                <w:bdr w:val="nil"/>
                <w:lang w:val="de-DE"/>
              </w:rPr>
              <w:t xml:space="preserve"> </w:t>
            </w:r>
          </w:p>
        </w:tc>
      </w:tr>
      <w:tr w:rsidRPr="00046FAE" w:rsidR="00D8651C" w:rsidTr="00C0685F" w14:paraId="2EE5F79F" w14:textId="77777777">
        <w:tc>
          <w:tcPr>
            <w:tcW w:w="9640" w:type="dxa"/>
            <w:shd w:val="clear" w:color="auto" w:fill="auto"/>
            <w:tcMar>
              <w:left w:w="108" w:type="dxa"/>
            </w:tcMar>
          </w:tcPr>
          <w:p w:rsidRPr="006C29B1" w:rsidR="002F3939" w:rsidP="009D4FD9" w:rsidRDefault="00781974" w14:paraId="0FA7AEB4" w14:textId="36681E03">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83821721" w:id="32"/>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das Recht haben, öffentliche Erklärungen </w:t>
            </w:r>
            <w:r w:rsidR="00490415">
              <w:rPr>
                <w:rFonts w:ascii="Arial" w:hAnsi="Arial" w:eastAsia="Arial" w:cs="Arial"/>
                <w:sz w:val="22"/>
                <w:szCs w:val="22"/>
                <w:bdr w:val="nil"/>
                <w:lang w:val="de-DE"/>
              </w:rPr>
              <w:t>abzu</w:t>
            </w:r>
            <w:r w:rsidR="0078680C">
              <w:rPr>
                <w:rFonts w:ascii="Arial" w:hAnsi="Arial" w:eastAsia="Arial" w:cs="Arial"/>
                <w:sz w:val="22"/>
                <w:szCs w:val="22"/>
                <w:bdr w:val="nil"/>
                <w:lang w:val="de-DE"/>
              </w:rPr>
              <w:t>geben und Forschungs</w:t>
            </w:r>
            <w:r w:rsidR="00490415">
              <w:rPr>
                <w:rFonts w:ascii="Arial" w:hAnsi="Arial" w:eastAsia="Arial" w:cs="Arial"/>
                <w:sz w:val="22"/>
                <w:szCs w:val="22"/>
                <w:bdr w:val="nil"/>
                <w:lang w:val="de-DE"/>
              </w:rPr>
              <w:t>arbeiten</w:t>
            </w:r>
            <w:r w:rsidR="0078680C">
              <w:rPr>
                <w:rFonts w:ascii="Arial" w:hAnsi="Arial" w:eastAsia="Arial" w:cs="Arial"/>
                <w:sz w:val="22"/>
                <w:szCs w:val="22"/>
                <w:bdr w:val="nil"/>
                <w:lang w:val="de-DE"/>
              </w:rPr>
              <w:t xml:space="preserve"> und Berichte zu </w:t>
            </w:r>
            <w:r w:rsidR="00490415">
              <w:rPr>
                <w:rFonts w:ascii="Arial" w:hAnsi="Arial" w:eastAsia="Arial" w:cs="Arial"/>
                <w:sz w:val="22"/>
                <w:szCs w:val="22"/>
                <w:bdr w:val="nil"/>
                <w:lang w:val="de-DE"/>
              </w:rPr>
              <w:t>erstellen</w:t>
            </w:r>
            <w:r w:rsidR="0078680C">
              <w:rPr>
                <w:rFonts w:ascii="Arial" w:hAnsi="Arial" w:eastAsia="Arial" w:cs="Arial"/>
                <w:sz w:val="22"/>
                <w:szCs w:val="22"/>
                <w:bdr w:val="nil"/>
                <w:lang w:val="de-DE"/>
              </w:rPr>
              <w:t xml:space="preserve"> und zu veröffentlichen, ohne zuvor die </w:t>
            </w:r>
            <w:r w:rsidR="00490415">
              <w:rPr>
                <w:rFonts w:ascii="Arial" w:hAnsi="Arial" w:eastAsia="Arial" w:cs="Arial"/>
                <w:sz w:val="22"/>
                <w:szCs w:val="22"/>
                <w:bdr w:val="nil"/>
                <w:lang w:val="de-DE"/>
              </w:rPr>
              <w:t>Erlaubnis</w:t>
            </w:r>
            <w:r w:rsidR="0092176D">
              <w:rPr>
                <w:rFonts w:ascii="Arial" w:hAnsi="Arial" w:eastAsia="Arial" w:cs="Arial"/>
                <w:sz w:val="22"/>
                <w:szCs w:val="22"/>
                <w:bdr w:val="nil"/>
                <w:lang w:val="de-DE"/>
              </w:rPr>
              <w:t xml:space="preserve"> oder eine</w:t>
            </w:r>
            <w:r w:rsidR="00490415">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Genehmigung der Regierung oder einer anderen Institution oder anderen externen Partei einholen oder diesen eine Ankündigung zukommen </w:t>
            </w:r>
            <w:r w:rsidR="0092176D">
              <w:rPr>
                <w:rFonts w:ascii="Arial" w:hAnsi="Arial" w:eastAsia="Arial" w:cs="Arial"/>
                <w:sz w:val="22"/>
                <w:szCs w:val="22"/>
                <w:bdr w:val="nil"/>
                <w:lang w:val="de-DE"/>
              </w:rPr>
              <w:t xml:space="preserve">lassen </w:t>
            </w:r>
            <w:r w:rsidR="0078680C">
              <w:rPr>
                <w:rFonts w:ascii="Arial" w:hAnsi="Arial" w:eastAsia="Arial" w:cs="Arial"/>
                <w:sz w:val="22"/>
                <w:szCs w:val="22"/>
                <w:bdr w:val="nil"/>
                <w:lang w:val="de-DE"/>
              </w:rPr>
              <w:t xml:space="preserve">zu </w:t>
            </w:r>
            <w:r w:rsidR="0092176D">
              <w:rPr>
                <w:rFonts w:ascii="Arial" w:hAnsi="Arial" w:eastAsia="Arial" w:cs="Arial"/>
                <w:sz w:val="22"/>
                <w:szCs w:val="22"/>
                <w:bdr w:val="nil"/>
                <w:lang w:val="de-DE"/>
              </w:rPr>
              <w:t>müssen</w:t>
            </w:r>
            <w:r w:rsidR="0078680C">
              <w:rPr>
                <w:rFonts w:ascii="Arial" w:hAnsi="Arial" w:eastAsia="Arial" w:cs="Arial"/>
                <w:sz w:val="22"/>
                <w:szCs w:val="22"/>
                <w:bdr w:val="nil"/>
                <w:lang w:val="de-DE"/>
              </w:rPr>
              <w:t>.</w:t>
            </w:r>
            <w:bookmarkEnd w:id="32"/>
          </w:p>
        </w:tc>
      </w:tr>
      <w:tr w:rsidRPr="00046FAE" w:rsidR="00D8651C" w:rsidTr="00C0685F" w14:paraId="4CA426E4" w14:textId="77777777">
        <w:tc>
          <w:tcPr>
            <w:tcW w:w="9640" w:type="dxa"/>
            <w:shd w:val="clear" w:color="auto" w:fill="auto"/>
            <w:tcMar>
              <w:left w:w="108" w:type="dxa"/>
            </w:tcMar>
          </w:tcPr>
          <w:p w:rsidRPr="00C0685F" w:rsidR="002F3939" w:rsidP="005F58D0" w:rsidRDefault="0078680C" w14:paraId="47596C7F" w14:textId="3192ECB3">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731" w:id="33"/>
            <w:r>
              <w:rPr>
                <w:rFonts w:ascii="Arial" w:hAnsi="Arial" w:eastAsia="Arial" w:cs="Arial"/>
                <w:sz w:val="22"/>
                <w:szCs w:val="22"/>
                <w:bdr w:val="nil"/>
                <w:lang w:val="de-DE"/>
              </w:rPr>
              <w:t xml:space="preserve">Die Tätigkeit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sollte auf </w:t>
            </w:r>
            <w:r w:rsidR="0092176D">
              <w:rPr>
                <w:rFonts w:ascii="Arial" w:hAnsi="Arial" w:eastAsia="Arial" w:cs="Arial"/>
                <w:sz w:val="22"/>
                <w:szCs w:val="22"/>
                <w:bdr w:val="nil"/>
                <w:lang w:val="de-DE"/>
              </w:rPr>
              <w:t xml:space="preserve">den </w:t>
            </w:r>
            <w:r>
              <w:rPr>
                <w:rFonts w:ascii="Arial" w:hAnsi="Arial" w:eastAsia="Arial" w:cs="Arial"/>
                <w:sz w:val="22"/>
                <w:szCs w:val="22"/>
                <w:bdr w:val="nil"/>
                <w:lang w:val="de-DE"/>
              </w:rPr>
              <w:t xml:space="preserve">relevanten internationalen und nationalen </w:t>
            </w:r>
            <w:r w:rsidR="0092176D">
              <w:rPr>
                <w:rFonts w:ascii="Arial" w:hAnsi="Arial" w:eastAsia="Arial" w:cs="Arial"/>
                <w:sz w:val="22"/>
                <w:szCs w:val="22"/>
                <w:bdr w:val="nil"/>
                <w:lang w:val="de-DE"/>
              </w:rPr>
              <w:t>Rechtsrahmen</w:t>
            </w:r>
            <w:r>
              <w:rPr>
                <w:rFonts w:ascii="Arial" w:hAnsi="Arial" w:eastAsia="Arial" w:cs="Arial"/>
                <w:sz w:val="22"/>
                <w:szCs w:val="22"/>
                <w:bdr w:val="nil"/>
                <w:lang w:val="de-DE"/>
              </w:rPr>
              <w:t xml:space="preserve">, Standards und </w:t>
            </w:r>
            <w:r w:rsidR="0092176D">
              <w:rPr>
                <w:rFonts w:ascii="Arial" w:hAnsi="Arial" w:eastAsia="Arial" w:cs="Arial"/>
                <w:sz w:val="22"/>
                <w:szCs w:val="22"/>
                <w:bdr w:val="nil"/>
                <w:lang w:val="de-DE"/>
              </w:rPr>
              <w:t>Gerichtsentscheidungen</w:t>
            </w:r>
            <w:r>
              <w:rPr>
                <w:rFonts w:ascii="Arial" w:hAnsi="Arial" w:eastAsia="Arial" w:cs="Arial"/>
                <w:sz w:val="22"/>
                <w:szCs w:val="22"/>
                <w:bdr w:val="nil"/>
                <w:lang w:val="de-DE"/>
              </w:rPr>
              <w:t xml:space="preserve"> basieren. Ihre Berichte und Empfehlungen sollten auf Fachwissen und </w:t>
            </w:r>
            <w:r w:rsidR="0092176D">
              <w:rPr>
                <w:rFonts w:ascii="Arial" w:hAnsi="Arial" w:eastAsia="Arial" w:cs="Arial"/>
                <w:sz w:val="22"/>
                <w:szCs w:val="22"/>
                <w:bdr w:val="nil"/>
                <w:lang w:val="de-DE"/>
              </w:rPr>
              <w:t xml:space="preserve">Nachweisen </w:t>
            </w:r>
            <w:r w:rsidR="002B08F2">
              <w:rPr>
                <w:rFonts w:ascii="Arial" w:hAnsi="Arial" w:eastAsia="Arial" w:cs="Arial"/>
                <w:sz w:val="22"/>
                <w:szCs w:val="22"/>
                <w:bdr w:val="nil"/>
                <w:lang w:val="de-DE"/>
              </w:rPr>
              <w:t>gegründet sein</w:t>
            </w:r>
            <w:r>
              <w:rPr>
                <w:rFonts w:ascii="Arial" w:hAnsi="Arial" w:eastAsia="Arial" w:cs="Arial"/>
                <w:sz w:val="22"/>
                <w:szCs w:val="22"/>
                <w:bdr w:val="nil"/>
                <w:lang w:val="de-DE"/>
              </w:rPr>
              <w:t xml:space="preserve">, </w:t>
            </w:r>
            <w:r w:rsidR="002B08F2">
              <w:rPr>
                <w:rFonts w:ascii="Arial" w:hAnsi="Arial" w:eastAsia="Arial" w:cs="Arial"/>
                <w:sz w:val="22"/>
                <w:szCs w:val="22"/>
                <w:bdr w:val="nil"/>
                <w:lang w:val="de-DE"/>
              </w:rPr>
              <w:t>die aus</w:t>
            </w:r>
            <w:r w:rsidR="0092176D">
              <w:rPr>
                <w:rFonts w:ascii="Arial" w:hAnsi="Arial" w:eastAsia="Arial" w:cs="Arial"/>
                <w:sz w:val="22"/>
                <w:szCs w:val="22"/>
                <w:bdr w:val="nil"/>
                <w:lang w:val="de-DE"/>
              </w:rPr>
              <w:t xml:space="preserve"> </w:t>
            </w:r>
            <w:r>
              <w:rPr>
                <w:rFonts w:ascii="Arial" w:hAnsi="Arial" w:eastAsia="Arial" w:cs="Arial"/>
                <w:sz w:val="22"/>
                <w:szCs w:val="22"/>
                <w:bdr w:val="nil"/>
                <w:lang w:val="de-DE"/>
              </w:rPr>
              <w:t>Forschung, Untersuchungen, Dokumentationen und unparteiische</w:t>
            </w:r>
            <w:r w:rsidR="002B08F2">
              <w:rPr>
                <w:rFonts w:ascii="Arial" w:hAnsi="Arial" w:eastAsia="Arial" w:cs="Arial"/>
                <w:sz w:val="22"/>
                <w:szCs w:val="22"/>
                <w:bdr w:val="nil"/>
                <w:lang w:val="de-DE"/>
              </w:rPr>
              <w:t>n</w:t>
            </w:r>
            <w:r>
              <w:rPr>
                <w:rFonts w:ascii="Arial" w:hAnsi="Arial" w:eastAsia="Arial" w:cs="Arial"/>
                <w:sz w:val="22"/>
                <w:szCs w:val="22"/>
                <w:bdr w:val="nil"/>
                <w:lang w:val="de-DE"/>
              </w:rPr>
              <w:t xml:space="preserve"> und unabhängige</w:t>
            </w:r>
            <w:r w:rsidR="002B08F2">
              <w:rPr>
                <w:rFonts w:ascii="Arial" w:hAnsi="Arial" w:eastAsia="Arial" w:cs="Arial"/>
                <w:sz w:val="22"/>
                <w:szCs w:val="22"/>
                <w:bdr w:val="nil"/>
                <w:lang w:val="de-DE"/>
              </w:rPr>
              <w:t>n</w:t>
            </w:r>
            <w:r>
              <w:rPr>
                <w:rFonts w:ascii="Arial" w:hAnsi="Arial" w:eastAsia="Arial" w:cs="Arial"/>
                <w:sz w:val="22"/>
                <w:szCs w:val="22"/>
                <w:bdr w:val="nil"/>
                <w:lang w:val="de-DE"/>
              </w:rPr>
              <w:t xml:space="preserve"> Informationen </w:t>
            </w:r>
            <w:r w:rsidR="002B08F2">
              <w:rPr>
                <w:rFonts w:ascii="Arial" w:hAnsi="Arial" w:eastAsia="Arial" w:cs="Arial"/>
                <w:sz w:val="22"/>
                <w:szCs w:val="22"/>
                <w:bdr w:val="nil"/>
                <w:lang w:val="de-DE"/>
              </w:rPr>
              <w:t>gezogen werden</w:t>
            </w:r>
            <w:r>
              <w:rPr>
                <w:rFonts w:ascii="Arial" w:hAnsi="Arial" w:eastAsia="Arial" w:cs="Arial"/>
                <w:sz w:val="22"/>
                <w:szCs w:val="22"/>
                <w:bdr w:val="nil"/>
                <w:lang w:val="de-DE"/>
              </w:rPr>
              <w:t>.</w:t>
            </w:r>
            <w:bookmarkEnd w:id="33"/>
            <w:r>
              <w:rPr>
                <w:rFonts w:ascii="Arial" w:hAnsi="Arial" w:eastAsia="Arial" w:cs="Arial"/>
                <w:sz w:val="22"/>
                <w:szCs w:val="22"/>
                <w:bdr w:val="nil"/>
                <w:lang w:val="de-DE"/>
              </w:rPr>
              <w:t xml:space="preserve"> </w:t>
            </w:r>
          </w:p>
        </w:tc>
      </w:tr>
      <w:tr w:rsidRPr="00046FAE" w:rsidR="00D8651C" w:rsidTr="00C0685F" w14:paraId="2F12E127" w14:textId="77777777">
        <w:tc>
          <w:tcPr>
            <w:tcW w:w="9640" w:type="dxa"/>
            <w:shd w:val="clear" w:color="auto" w:fill="auto"/>
            <w:tcMar>
              <w:left w:w="108" w:type="dxa"/>
            </w:tcMar>
          </w:tcPr>
          <w:p w:rsidRPr="00C0685F" w:rsidR="002F3939" w:rsidP="005B4190" w:rsidRDefault="00781974" w14:paraId="5074E21A" w14:textId="067B7773">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742" w:id="34"/>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dem Recht des öffentlichen Dienstes und den Vorschriften </w:t>
            </w:r>
            <w:r w:rsidR="002B08F2">
              <w:rPr>
                <w:rFonts w:ascii="Arial" w:hAnsi="Arial" w:eastAsia="Arial" w:cs="Arial"/>
                <w:sz w:val="22"/>
                <w:szCs w:val="22"/>
                <w:bdr w:val="nil"/>
                <w:lang w:val="de-DE"/>
              </w:rPr>
              <w:t xml:space="preserve">über Ausgaben und </w:t>
            </w:r>
            <w:r w:rsidR="0078680C">
              <w:rPr>
                <w:rFonts w:ascii="Arial" w:hAnsi="Arial" w:eastAsia="Arial" w:cs="Arial"/>
                <w:sz w:val="22"/>
                <w:szCs w:val="22"/>
                <w:bdr w:val="nil"/>
                <w:lang w:val="de-DE"/>
              </w:rPr>
              <w:t>finanzielle Rechenschaftspflicht</w:t>
            </w:r>
            <w:r w:rsidR="002B08F2">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unterliegen, die für </w:t>
            </w:r>
            <w:r w:rsidR="00FE4282">
              <w:rPr>
                <w:rFonts w:ascii="Arial" w:hAnsi="Arial" w:eastAsia="Arial" w:cs="Arial"/>
                <w:sz w:val="22"/>
                <w:szCs w:val="22"/>
                <w:bdr w:val="nil"/>
                <w:lang w:val="de-DE"/>
              </w:rPr>
              <w:t xml:space="preserve">öffentliche </w:t>
            </w:r>
            <w:r w:rsidR="0078680C">
              <w:rPr>
                <w:rFonts w:ascii="Arial" w:hAnsi="Arial" w:eastAsia="Arial" w:cs="Arial"/>
                <w:sz w:val="22"/>
                <w:szCs w:val="22"/>
                <w:bdr w:val="nil"/>
                <w:lang w:val="de-DE"/>
              </w:rPr>
              <w:t>Behörden gelten.</w:t>
            </w:r>
            <w:bookmarkEnd w:id="34"/>
            <w:r w:rsidR="0078680C">
              <w:rPr>
                <w:rFonts w:ascii="Arial" w:hAnsi="Arial" w:eastAsia="Arial" w:cs="Arial"/>
                <w:sz w:val="22"/>
                <w:szCs w:val="22"/>
                <w:bdr w:val="nil"/>
                <w:lang w:val="de-DE"/>
              </w:rPr>
              <w:t xml:space="preserve"> </w:t>
            </w:r>
          </w:p>
        </w:tc>
      </w:tr>
      <w:tr w:rsidRPr="00046FAE" w:rsidR="00D8651C" w:rsidTr="00C0685F" w14:paraId="7B647AB5" w14:textId="77777777">
        <w:tc>
          <w:tcPr>
            <w:tcW w:w="9640" w:type="dxa"/>
            <w:shd w:val="clear" w:color="auto" w:fill="auto"/>
            <w:tcMar>
              <w:left w:w="108" w:type="dxa"/>
            </w:tcMar>
          </w:tcPr>
          <w:p w:rsidRPr="00C0685F" w:rsidR="002F3939" w:rsidP="005F58D0" w:rsidRDefault="00781974" w14:paraId="0254699E" w14:textId="426E34FC">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749" w:id="35"/>
            <w:bookmarkStart w:name="_Ref483900897" w:id="36"/>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regelmäßig eine strategische Planung durchführen, </w:t>
            </w:r>
            <w:r w:rsidR="00FE4282">
              <w:rPr>
                <w:rFonts w:ascii="Arial" w:hAnsi="Arial" w:eastAsia="Arial" w:cs="Arial"/>
                <w:sz w:val="22"/>
                <w:szCs w:val="22"/>
                <w:bdr w:val="nil"/>
                <w:lang w:val="de-DE"/>
              </w:rPr>
              <w:t>Output</w:t>
            </w:r>
            <w:r w:rsidR="0078680C">
              <w:rPr>
                <w:rFonts w:ascii="Arial" w:hAnsi="Arial" w:eastAsia="Arial" w:cs="Arial"/>
                <w:sz w:val="22"/>
                <w:szCs w:val="22"/>
                <w:bdr w:val="nil"/>
                <w:lang w:val="de-DE"/>
              </w:rPr>
              <w:t xml:space="preserve">- und </w:t>
            </w:r>
            <w:r w:rsidR="00FE4282">
              <w:rPr>
                <w:rFonts w:ascii="Arial" w:hAnsi="Arial" w:eastAsia="Arial" w:cs="Arial"/>
                <w:sz w:val="22"/>
                <w:szCs w:val="22"/>
                <w:bdr w:val="nil"/>
                <w:lang w:val="de-DE"/>
              </w:rPr>
              <w:t xml:space="preserve">Wirkungsindikatoren </w:t>
            </w:r>
            <w:r w:rsidR="0078680C">
              <w:rPr>
                <w:rFonts w:ascii="Arial" w:hAnsi="Arial" w:eastAsia="Arial" w:cs="Arial"/>
                <w:sz w:val="22"/>
                <w:szCs w:val="22"/>
                <w:bdr w:val="nil"/>
                <w:lang w:val="de-DE"/>
              </w:rPr>
              <w:t>zur Beurteilung ihrer Fortschritte entwickeln und verfolgen und zu geeigneten Zeitpunkten Evaluierungen durchführen.</w:t>
            </w:r>
            <w:bookmarkEnd w:id="35"/>
            <w:r w:rsidR="0078680C">
              <w:rPr>
                <w:rFonts w:ascii="Arial" w:hAnsi="Arial" w:eastAsia="Arial" w:cs="Arial"/>
                <w:sz w:val="22"/>
                <w:szCs w:val="22"/>
                <w:bdr w:val="nil"/>
                <w:lang w:val="de-DE"/>
              </w:rPr>
              <w:t xml:space="preserve"> </w:t>
            </w:r>
            <w:bookmarkEnd w:id="36"/>
          </w:p>
        </w:tc>
      </w:tr>
      <w:tr w:rsidRPr="00046FAE" w:rsidR="00D8651C" w:rsidTr="00C0685F" w14:paraId="01BC7F0C" w14:textId="77777777">
        <w:tc>
          <w:tcPr>
            <w:tcW w:w="9640" w:type="dxa"/>
            <w:shd w:val="clear" w:color="auto" w:fill="auto"/>
            <w:tcMar>
              <w:left w:w="108" w:type="dxa"/>
            </w:tcMar>
          </w:tcPr>
          <w:p w:rsidRPr="00C0685F" w:rsidR="002F3939" w:rsidP="005B4190" w:rsidRDefault="00781974" w14:paraId="58C46751" w14:textId="5E007C8C">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3821758" w:id="37"/>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eine Kommunikationsstrategie entwickeln, um ihre </w:t>
            </w:r>
            <w:r w:rsidR="00EB5612">
              <w:rPr>
                <w:rFonts w:ascii="Arial" w:hAnsi="Arial" w:eastAsia="Arial" w:cs="Arial"/>
                <w:sz w:val="22"/>
                <w:szCs w:val="22"/>
                <w:bdr w:val="nil"/>
                <w:lang w:val="de-DE"/>
              </w:rPr>
              <w:t xml:space="preserve">Sensibilisierungsarbeit </w:t>
            </w:r>
            <w:r w:rsidR="0078680C">
              <w:rPr>
                <w:rFonts w:ascii="Arial" w:hAnsi="Arial" w:eastAsia="Arial" w:cs="Arial"/>
                <w:sz w:val="22"/>
                <w:szCs w:val="22"/>
                <w:bdr w:val="nil"/>
                <w:lang w:val="de-DE"/>
              </w:rPr>
              <w:t xml:space="preserve">zu gestalten und </w:t>
            </w:r>
            <w:r w:rsidR="00FE4282">
              <w:rPr>
                <w:rFonts w:ascii="Arial" w:hAnsi="Arial" w:eastAsia="Arial" w:cs="Arial"/>
                <w:sz w:val="22"/>
                <w:szCs w:val="22"/>
                <w:bdr w:val="nil"/>
                <w:lang w:val="de-DE"/>
              </w:rPr>
              <w:t>zu steuern</w:t>
            </w:r>
            <w:r w:rsidR="0078680C">
              <w:rPr>
                <w:rFonts w:ascii="Arial" w:hAnsi="Arial" w:eastAsia="Arial" w:cs="Arial"/>
                <w:sz w:val="22"/>
                <w:szCs w:val="22"/>
                <w:bdr w:val="nil"/>
                <w:lang w:val="de-DE"/>
              </w:rPr>
              <w:t>.</w:t>
            </w:r>
            <w:bookmarkEnd w:id="37"/>
          </w:p>
        </w:tc>
      </w:tr>
      <w:tr w:rsidRPr="00046FAE" w:rsidR="00D8651C" w:rsidTr="00C0685F" w14:paraId="5E165D07" w14:textId="77777777">
        <w:tc>
          <w:tcPr>
            <w:tcW w:w="9640" w:type="dxa"/>
            <w:shd w:val="clear" w:color="auto" w:fill="auto"/>
            <w:tcMar>
              <w:left w:w="108" w:type="dxa"/>
            </w:tcMar>
          </w:tcPr>
          <w:p w:rsidRPr="00C0685F" w:rsidR="002F3939" w:rsidP="005B4190" w:rsidRDefault="00781974" w14:paraId="3762A310" w14:textId="16C4BDE9">
            <w:pPr>
              <w:numPr>
                <w:ilvl w:val="0"/>
                <w:numId w:val="1"/>
              </w:numPr>
              <w:tabs>
                <w:tab w:val="left" w:pos="709"/>
              </w:tabs>
              <w:spacing w:before="100" w:beforeAutospacing="1" w:after="100" w:afterAutospacing="1" w:line="240" w:lineRule="exact"/>
              <w:jc w:val="both"/>
              <w:rPr>
                <w:rFonts w:ascii="Arial" w:hAnsi="Arial"/>
                <w:sz w:val="22"/>
                <w:lang w:val="de-DE"/>
              </w:rPr>
            </w:pPr>
            <w:bookmarkStart w:name="_Ref486587365" w:id="38"/>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Jahresberichte veröffentlichen, die vom Parlament oder seinen zuständigen Ausschüssen und von der Regierung erörtert werden, jedoch nicht deren Zustimmung unterliegen.</w:t>
            </w:r>
            <w:bookmarkEnd w:id="38"/>
          </w:p>
        </w:tc>
      </w:tr>
      <w:tr w:rsidRPr="00046FAE" w:rsidR="00D8651C" w:rsidTr="00C0685F" w14:paraId="460B02AF" w14:textId="77777777">
        <w:tc>
          <w:tcPr>
            <w:tcW w:w="9640" w:type="dxa"/>
            <w:shd w:val="clear" w:color="auto" w:fill="auto"/>
            <w:tcMar>
              <w:left w:w="108" w:type="dxa"/>
            </w:tcMar>
          </w:tcPr>
          <w:p w:rsidRPr="006C29B1" w:rsidR="002F3939" w:rsidP="005B4190" w:rsidRDefault="0078680C" w14:paraId="1AFBB993" w14:textId="68542D67">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86587374" w:id="39"/>
            <w:r>
              <w:rPr>
                <w:rFonts w:ascii="Arial" w:hAnsi="Arial" w:eastAsia="Arial" w:cs="Arial"/>
                <w:sz w:val="22"/>
                <w:szCs w:val="22"/>
                <w:bdr w:val="nil"/>
                <w:lang w:val="de-DE"/>
              </w:rPr>
              <w:t xml:space="preserve">Behörden und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sollten einen nachhaltigen Dialog über die Fortschritte in den Bereichen Gleich</w:t>
            </w:r>
            <w:r w:rsidR="00FE4282">
              <w:rPr>
                <w:rFonts w:ascii="Arial" w:hAnsi="Arial" w:eastAsia="Arial" w:cs="Arial"/>
                <w:sz w:val="22"/>
                <w:szCs w:val="22"/>
                <w:bdr w:val="nil"/>
                <w:lang w:val="de-DE"/>
              </w:rPr>
              <w:t>heit</w:t>
            </w:r>
            <w:r>
              <w:rPr>
                <w:rFonts w:ascii="Arial" w:hAnsi="Arial" w:eastAsia="Arial" w:cs="Arial"/>
                <w:sz w:val="22"/>
                <w:szCs w:val="22"/>
                <w:bdr w:val="nil"/>
                <w:lang w:val="de-DE"/>
              </w:rPr>
              <w:t xml:space="preserve"> und Nichtdiskriminierung </w:t>
            </w:r>
            <w:r w:rsidR="00EB5612">
              <w:rPr>
                <w:rFonts w:ascii="Arial" w:hAnsi="Arial" w:eastAsia="Arial" w:cs="Arial"/>
                <w:sz w:val="22"/>
                <w:szCs w:val="22"/>
                <w:bdr w:val="nil"/>
                <w:lang w:val="de-DE"/>
              </w:rPr>
              <w:t>entwickeln</w:t>
            </w:r>
            <w:r>
              <w:rPr>
                <w:rFonts w:ascii="Arial" w:hAnsi="Arial" w:eastAsia="Arial" w:cs="Arial"/>
                <w:sz w:val="22"/>
                <w:szCs w:val="22"/>
                <w:bdr w:val="nil"/>
                <w:lang w:val="de-DE"/>
              </w:rPr>
              <w:t xml:space="preserve">. Die Regierung und andere Behörden sollten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konsultieren</w:t>
            </w:r>
            <w:r w:rsidR="00EB5612">
              <w:rPr>
                <w:rFonts w:ascii="Arial" w:hAnsi="Arial" w:eastAsia="Arial" w:cs="Arial"/>
                <w:sz w:val="22"/>
                <w:szCs w:val="22"/>
                <w:bdr w:val="nil"/>
                <w:lang w:val="de-DE"/>
              </w:rPr>
              <w:t>,</w:t>
            </w:r>
            <w:r>
              <w:rPr>
                <w:rFonts w:ascii="Arial" w:hAnsi="Arial" w:eastAsia="Arial" w:cs="Arial"/>
                <w:sz w:val="22"/>
                <w:szCs w:val="22"/>
                <w:bdr w:val="nil"/>
                <w:lang w:val="de-DE"/>
              </w:rPr>
              <w:t xml:space="preserve"> mit diesen kooperieren und deren Empfehlungen zu Gesetzgebung, Politik, Verfahren, Programmen und Pra</w:t>
            </w:r>
            <w:r w:rsidR="00FE4282">
              <w:rPr>
                <w:rFonts w:ascii="Arial" w:hAnsi="Arial" w:eastAsia="Arial" w:cs="Arial"/>
                <w:sz w:val="22"/>
                <w:szCs w:val="22"/>
                <w:bdr w:val="nil"/>
                <w:lang w:val="de-DE"/>
              </w:rPr>
              <w:t xml:space="preserve">ktiken </w:t>
            </w:r>
            <w:r>
              <w:rPr>
                <w:rFonts w:ascii="Arial" w:hAnsi="Arial" w:eastAsia="Arial" w:cs="Arial"/>
                <w:sz w:val="22"/>
                <w:szCs w:val="22"/>
                <w:bdr w:val="nil"/>
                <w:lang w:val="de-DE"/>
              </w:rPr>
              <w:t xml:space="preserve">berücksichtigen. Das </w:t>
            </w:r>
            <w:r w:rsidR="00FE4282">
              <w:rPr>
                <w:rFonts w:ascii="Arial" w:hAnsi="Arial" w:eastAsia="Arial" w:cs="Arial"/>
                <w:sz w:val="22"/>
                <w:szCs w:val="22"/>
                <w:bdr w:val="nil"/>
                <w:lang w:val="de-DE"/>
              </w:rPr>
              <w:t xml:space="preserve">Gesetz </w:t>
            </w:r>
            <w:r>
              <w:rPr>
                <w:rFonts w:ascii="Arial" w:hAnsi="Arial" w:eastAsia="Arial" w:cs="Arial"/>
                <w:sz w:val="22"/>
                <w:szCs w:val="22"/>
                <w:bdr w:val="nil"/>
                <w:lang w:val="de-DE"/>
              </w:rPr>
              <w:t xml:space="preserve">sollte vorsehen, dass die Regierung und andere Behörden auf die Empfehlungen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FE4282">
              <w:rPr>
                <w:rFonts w:ascii="Arial" w:hAnsi="Arial" w:eastAsia="Arial" w:cs="Arial"/>
                <w:sz w:val="22"/>
                <w:szCs w:val="22"/>
                <w:bdr w:val="nil"/>
                <w:lang w:val="de-DE"/>
              </w:rPr>
              <w:t xml:space="preserve">antworten oder </w:t>
            </w:r>
            <w:r>
              <w:rPr>
                <w:rFonts w:ascii="Arial" w:hAnsi="Arial" w:eastAsia="Arial" w:cs="Arial"/>
                <w:sz w:val="22"/>
                <w:szCs w:val="22"/>
                <w:bdr w:val="nil"/>
                <w:lang w:val="de-DE"/>
              </w:rPr>
              <w:t>Maßnahmen ergreifen müssen, um diese innerhalb einer vorgegebenen Frist umzusetzen.</w:t>
            </w:r>
            <w:bookmarkEnd w:id="39"/>
          </w:p>
        </w:tc>
      </w:tr>
      <w:tr w:rsidRPr="00046FAE" w:rsidR="00D8651C" w:rsidTr="00C0685F" w14:paraId="646CD417" w14:textId="77777777">
        <w:tc>
          <w:tcPr>
            <w:tcW w:w="9640" w:type="dxa"/>
            <w:shd w:val="clear" w:color="auto" w:fill="auto"/>
            <w:tcMar>
              <w:left w:w="108" w:type="dxa"/>
            </w:tcMar>
          </w:tcPr>
          <w:p w:rsidRPr="006C29B1" w:rsidR="002F3939" w:rsidP="00272DC1" w:rsidRDefault="00781974" w14:paraId="2F72DBF3" w14:textId="2B417075">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74393527" w:id="40"/>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sollten Strukturen für eine nachhaltige Einbeziehung und Mitwirkung von </w:t>
            </w:r>
            <w:r w:rsidR="00B210C0">
              <w:rPr>
                <w:rFonts w:ascii="Arial" w:hAnsi="Arial" w:eastAsia="Arial" w:cs="Arial"/>
                <w:sz w:val="22"/>
                <w:szCs w:val="22"/>
                <w:bdr w:val="nil"/>
                <w:lang w:val="de-DE"/>
              </w:rPr>
              <w:t>Stakeholder</w:t>
            </w:r>
            <w:r w:rsidR="0078680C">
              <w:rPr>
                <w:rFonts w:ascii="Arial" w:hAnsi="Arial" w:eastAsia="Arial" w:cs="Arial"/>
                <w:sz w:val="22"/>
                <w:szCs w:val="22"/>
                <w:bdr w:val="nil"/>
                <w:lang w:val="de-DE"/>
              </w:rPr>
              <w:t>n, insbesondere zivilgesellschaftliche</w:t>
            </w:r>
            <w:r w:rsidR="00FE4282">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Organisationen, bei der Planung und Arbeit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schaffen.</w:t>
            </w:r>
            <w:bookmarkEnd w:id="40"/>
            <w:r w:rsidR="0078680C">
              <w:rPr>
                <w:rFonts w:ascii="Arial" w:hAnsi="Arial" w:eastAsia="Arial" w:cs="Arial"/>
                <w:sz w:val="22"/>
                <w:szCs w:val="22"/>
                <w:bdr w:val="nil"/>
                <w:lang w:val="de-DE"/>
              </w:rPr>
              <w:t xml:space="preserve"> </w:t>
            </w:r>
          </w:p>
        </w:tc>
      </w:tr>
      <w:tr w:rsidRPr="00046FAE" w:rsidR="00D8651C" w:rsidTr="00C0685F" w14:paraId="3A18D602" w14:textId="77777777">
        <w:tc>
          <w:tcPr>
            <w:tcW w:w="9640" w:type="dxa"/>
            <w:shd w:val="clear" w:color="auto" w:fill="auto"/>
            <w:tcMar>
              <w:left w:w="108" w:type="dxa"/>
            </w:tcMar>
          </w:tcPr>
          <w:p w:rsidRPr="006C29B1" w:rsidR="002F3939" w:rsidP="005B4190" w:rsidRDefault="0078680C" w14:paraId="3E1155E4" w14:textId="1FC4C511">
            <w:pPr>
              <w:numPr>
                <w:ilvl w:val="0"/>
                <w:numId w:val="1"/>
              </w:numPr>
              <w:tabs>
                <w:tab w:val="left" w:pos="709"/>
                <w:tab w:val="left" w:pos="1276"/>
              </w:tabs>
              <w:spacing w:before="100" w:beforeAutospacing="1" w:after="100" w:afterAutospacing="1" w:line="240" w:lineRule="exact"/>
              <w:jc w:val="both"/>
              <w:rPr>
                <w:rFonts w:ascii="Arial" w:hAnsi="Arial" w:cs="Arial"/>
                <w:sz w:val="22"/>
                <w:szCs w:val="22"/>
                <w:lang w:val="de-DE"/>
              </w:rPr>
            </w:pPr>
            <w:bookmarkStart w:name="_Ref483821788" w:id="41"/>
            <w:r>
              <w:rPr>
                <w:rFonts w:ascii="Arial" w:hAnsi="Arial" w:eastAsia="Arial" w:cs="Arial"/>
                <w:sz w:val="22"/>
                <w:szCs w:val="22"/>
                <w:bdr w:val="nil"/>
                <w:lang w:val="de-DE"/>
              </w:rPr>
              <w:t xml:space="preserve">Die Leitung, </w:t>
            </w:r>
            <w:r w:rsidR="00EB5612">
              <w:rPr>
                <w:rFonts w:ascii="Arial" w:hAnsi="Arial" w:eastAsia="Arial" w:cs="Arial"/>
                <w:sz w:val="22"/>
                <w:szCs w:val="22"/>
                <w:bdr w:val="nil"/>
                <w:lang w:val="de-DE"/>
              </w:rPr>
              <w:t>beratende Gremien</w:t>
            </w:r>
            <w:r>
              <w:rPr>
                <w:rFonts w:ascii="Arial" w:hAnsi="Arial" w:eastAsia="Arial" w:cs="Arial"/>
                <w:sz w:val="22"/>
                <w:szCs w:val="22"/>
                <w:bdr w:val="nil"/>
                <w:lang w:val="de-DE"/>
              </w:rPr>
              <w:t>, die Geschäftsführung und d</w:t>
            </w:r>
            <w:r w:rsidR="00EB5612">
              <w:rPr>
                <w:rFonts w:ascii="Arial" w:hAnsi="Arial" w:eastAsia="Arial" w:cs="Arial"/>
                <w:sz w:val="22"/>
                <w:szCs w:val="22"/>
                <w:bdr w:val="nil"/>
                <w:lang w:val="de-DE"/>
              </w:rPr>
              <w:t>ie Mitarbeiterschaft</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so weit wie möglich die Vielfalt der Gesellschaft als Ganzes widerspiegeln und </w:t>
            </w:r>
            <w:r w:rsidR="00FE4282">
              <w:rPr>
                <w:rFonts w:ascii="Arial" w:hAnsi="Arial" w:eastAsia="Arial" w:cs="Arial"/>
                <w:sz w:val="22"/>
                <w:szCs w:val="22"/>
                <w:bdr w:val="nil"/>
                <w:lang w:val="de-DE"/>
              </w:rPr>
              <w:t xml:space="preserve">ein Geschlechtergleichgewicht </w:t>
            </w:r>
            <w:r>
              <w:rPr>
                <w:rFonts w:ascii="Arial" w:hAnsi="Arial" w:eastAsia="Arial" w:cs="Arial"/>
                <w:sz w:val="22"/>
                <w:szCs w:val="22"/>
                <w:bdr w:val="nil"/>
                <w:lang w:val="de-DE"/>
              </w:rPr>
              <w:t>aufweisen.</w:t>
            </w:r>
            <w:bookmarkEnd w:id="41"/>
            <w:r>
              <w:rPr>
                <w:rFonts w:ascii="Arial" w:hAnsi="Arial" w:eastAsia="Arial" w:cs="Arial"/>
                <w:sz w:val="22"/>
                <w:szCs w:val="22"/>
                <w:bdr w:val="nil"/>
                <w:lang w:val="de-DE"/>
              </w:rPr>
              <w:t xml:space="preserve"> </w:t>
            </w:r>
          </w:p>
        </w:tc>
      </w:tr>
      <w:tr w:rsidRPr="00046FAE" w:rsidR="00D8651C" w:rsidTr="00C0685F" w14:paraId="7F08ABFC" w14:textId="77777777">
        <w:tc>
          <w:tcPr>
            <w:tcW w:w="9640" w:type="dxa"/>
            <w:shd w:val="clear" w:color="auto" w:fill="auto"/>
            <w:tcMar>
              <w:left w:w="108" w:type="dxa"/>
            </w:tcMar>
          </w:tcPr>
          <w:p w:rsidRPr="006C29B1" w:rsidR="002F3939" w:rsidP="00976E2B" w:rsidRDefault="0078680C" w14:paraId="65D6DDD2" w14:textId="7257B8BA">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83821801" w:id="42"/>
            <w:r>
              <w:rPr>
                <w:rFonts w:ascii="Arial" w:hAnsi="Arial" w:eastAsia="Arial" w:cs="Arial"/>
                <w:sz w:val="22"/>
                <w:szCs w:val="22"/>
                <w:bdr w:val="nil"/>
                <w:lang w:val="de-DE"/>
              </w:rPr>
              <w:t>D</w:t>
            </w:r>
            <w:r w:rsidR="00EB5612">
              <w:rPr>
                <w:rFonts w:ascii="Arial" w:hAnsi="Arial" w:eastAsia="Arial" w:cs="Arial"/>
                <w:sz w:val="22"/>
                <w:szCs w:val="22"/>
                <w:bdr w:val="nil"/>
                <w:lang w:val="de-DE"/>
              </w:rPr>
              <w:t>ie Mitarbeiterschaft</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 über die vielfältigen Fähigkeiten verfügen, die für das Erfüllen aller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und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en</w:t>
            </w:r>
            <w:r w:rsidR="00EB5612">
              <w:rPr>
                <w:rFonts w:ascii="Arial" w:hAnsi="Arial" w:eastAsia="Arial" w:cs="Arial"/>
                <w:sz w:val="22"/>
                <w:szCs w:val="22"/>
                <w:bdr w:val="nil"/>
                <w:lang w:val="de-DE"/>
              </w:rPr>
              <w:t xml:space="preserve"> </w:t>
            </w:r>
            <w:r>
              <w:rPr>
                <w:rFonts w:ascii="Arial" w:hAnsi="Arial" w:eastAsia="Arial" w:cs="Arial"/>
                <w:sz w:val="22"/>
                <w:szCs w:val="22"/>
                <w:bdr w:val="nil"/>
                <w:lang w:val="de-DE"/>
              </w:rPr>
              <w:t>erforderlich sind</w:t>
            </w:r>
            <w:r w:rsidR="00EB5612">
              <w:rPr>
                <w:rFonts w:ascii="Arial" w:hAnsi="Arial" w:eastAsia="Arial" w:cs="Arial"/>
                <w:sz w:val="22"/>
                <w:szCs w:val="22"/>
                <w:bdr w:val="nil"/>
                <w:lang w:val="de-DE"/>
              </w:rPr>
              <w:t xml:space="preserve">, die </w:t>
            </w:r>
            <w:r w:rsidRPr="00EB5612" w:rsidR="00EB5612">
              <w:rPr>
                <w:rFonts w:ascii="Arial" w:hAnsi="Arial" w:eastAsia="Arial" w:cs="Arial"/>
                <w:sz w:val="22"/>
                <w:szCs w:val="22"/>
                <w:bdr w:val="nil"/>
                <w:lang w:val="de-DE"/>
              </w:rPr>
              <w:t>der Gleichheitsstelle zugewiesen</w:t>
            </w:r>
            <w:r w:rsidR="00EB5612">
              <w:rPr>
                <w:rFonts w:ascii="Arial" w:hAnsi="Arial" w:eastAsia="Arial" w:cs="Arial"/>
                <w:sz w:val="22"/>
                <w:szCs w:val="22"/>
                <w:bdr w:val="nil"/>
                <w:lang w:val="de-DE"/>
              </w:rPr>
              <w:t xml:space="preserve"> wurden</w:t>
            </w:r>
            <w:r>
              <w:rPr>
                <w:rFonts w:ascii="Arial" w:hAnsi="Arial" w:eastAsia="Arial" w:cs="Arial"/>
                <w:sz w:val="22"/>
                <w:szCs w:val="22"/>
                <w:bdr w:val="nil"/>
                <w:lang w:val="de-DE"/>
              </w:rPr>
              <w:t>.</w:t>
            </w:r>
            <w:bookmarkEnd w:id="42"/>
          </w:p>
        </w:tc>
      </w:tr>
      <w:tr w:rsidR="00D8651C" w:rsidTr="00C0685F" w14:paraId="3C9FC842" w14:textId="77777777">
        <w:tc>
          <w:tcPr>
            <w:tcW w:w="9640" w:type="dxa"/>
            <w:shd w:val="clear" w:color="auto" w:fill="auto"/>
            <w:tcMar>
              <w:left w:w="108" w:type="dxa"/>
            </w:tcMar>
          </w:tcPr>
          <w:p w:rsidRPr="006353CB" w:rsidR="002F3939" w:rsidP="008E2E49" w:rsidRDefault="00AB255C" w14:paraId="0ABAD591" w14:textId="2A569A7A">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eastAsiaTheme="majorEastAsia"/>
                <w:b/>
                <w:bCs/>
                <w:szCs w:val="22"/>
                <w:lang w:val="en-GB"/>
              </w:rPr>
            </w:pPr>
            <w:r>
              <w:rPr>
                <w:rFonts w:ascii="Arial" w:hAnsi="Arial" w:eastAsia="Arial" w:cs="Arial"/>
                <w:b/>
                <w:bCs/>
                <w:sz w:val="22"/>
                <w:szCs w:val="22"/>
                <w:bdr w:val="nil"/>
                <w:lang w:val="de-DE"/>
              </w:rPr>
              <w:t>Barrierefreiheit</w:t>
            </w:r>
          </w:p>
        </w:tc>
      </w:tr>
      <w:tr w:rsidRPr="00C0685F" w:rsidR="00D8651C" w:rsidTr="00C0685F" w14:paraId="35882A24" w14:textId="77777777">
        <w:tc>
          <w:tcPr>
            <w:tcW w:w="9640" w:type="dxa"/>
            <w:shd w:val="clear" w:color="auto" w:fill="auto"/>
            <w:tcMar>
              <w:left w:w="108" w:type="dxa"/>
            </w:tcMar>
          </w:tcPr>
          <w:p w:rsidRPr="00C0685F" w:rsidR="002F3939" w:rsidP="005B4190" w:rsidRDefault="00781974" w14:paraId="58D268BD" w14:textId="3580C571">
            <w:pPr>
              <w:numPr>
                <w:ilvl w:val="0"/>
                <w:numId w:val="1"/>
              </w:numPr>
              <w:tabs>
                <w:tab w:val="left" w:pos="709"/>
              </w:tabs>
              <w:spacing w:before="100" w:beforeAutospacing="1" w:after="100" w:afterAutospacing="1" w:line="240" w:lineRule="exact"/>
              <w:jc w:val="both"/>
              <w:rPr>
                <w:rFonts w:ascii="Arial" w:hAnsi="Arial" w:cs="Arial"/>
                <w:sz w:val="22"/>
                <w:szCs w:val="22"/>
                <w:lang w:val="de-DE"/>
              </w:rPr>
            </w:pPr>
            <w:bookmarkStart w:name="_Ref478550300" w:id="43"/>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w:t>
            </w:r>
            <w:r w:rsidR="00AB255C">
              <w:rPr>
                <w:rFonts w:ascii="Arial" w:hAnsi="Arial" w:eastAsia="Arial" w:cs="Arial"/>
                <w:sz w:val="22"/>
                <w:szCs w:val="22"/>
                <w:bdr w:val="nil"/>
                <w:lang w:val="de-DE"/>
              </w:rPr>
              <w:t>für alle Personen zugänglich sein</w:t>
            </w:r>
            <w:r w:rsidR="0078680C">
              <w:rPr>
                <w:rFonts w:ascii="Arial" w:hAnsi="Arial" w:eastAsia="Arial" w:cs="Arial"/>
                <w:sz w:val="22"/>
                <w:szCs w:val="22"/>
                <w:bdr w:val="nil"/>
                <w:lang w:val="de-DE"/>
              </w:rPr>
              <w:t xml:space="preserve">, deren Rechte sie schützen sollen. </w:t>
            </w:r>
            <w:r w:rsidR="00AB255C">
              <w:rPr>
                <w:rFonts w:ascii="Arial" w:hAnsi="Arial" w:eastAsia="Arial" w:cs="Arial"/>
                <w:sz w:val="22"/>
                <w:szCs w:val="22"/>
                <w:bdr w:val="nil"/>
                <w:lang w:val="de-DE"/>
              </w:rPr>
              <w:t>Barrierefreiheit</w:t>
            </w:r>
            <w:r w:rsidR="0078680C">
              <w:rPr>
                <w:rFonts w:ascii="Arial" w:hAnsi="Arial" w:eastAsia="Arial" w:cs="Arial"/>
                <w:sz w:val="22"/>
                <w:szCs w:val="22"/>
                <w:bdr w:val="nil"/>
                <w:lang w:val="de-DE"/>
              </w:rPr>
              <w:t xml:space="preserve"> erfordert:</w:t>
            </w:r>
            <w:bookmarkEnd w:id="43"/>
          </w:p>
          <w:p w:rsidRPr="00C0685F" w:rsidR="002F3939" w:rsidP="005B4190" w:rsidRDefault="0078680C" w14:paraId="1B08EF8E" w14:textId="707E4303">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Leicht zugängliche Räumlichkeiten, </w:t>
            </w:r>
            <w:r w:rsidR="00AB255C">
              <w:rPr>
                <w:rFonts w:ascii="Arial" w:hAnsi="Arial" w:eastAsia="Arial" w:cs="Arial"/>
                <w:sz w:val="22"/>
                <w:szCs w:val="22"/>
                <w:bdr w:val="nil"/>
                <w:lang w:val="de-DE"/>
              </w:rPr>
              <w:t>Online</w:t>
            </w:r>
            <w:r>
              <w:rPr>
                <w:rFonts w:ascii="Arial" w:hAnsi="Arial" w:eastAsia="Arial" w:cs="Arial"/>
                <w:sz w:val="22"/>
                <w:szCs w:val="22"/>
                <w:bdr w:val="nil"/>
                <w:lang w:val="de-DE"/>
              </w:rPr>
              <w:t>-, E-Mail- und Telefondienste und Flexibilität i</w:t>
            </w:r>
            <w:r w:rsidR="00EB5612">
              <w:rPr>
                <w:rFonts w:ascii="Arial" w:hAnsi="Arial" w:eastAsia="Arial" w:cs="Arial"/>
                <w:sz w:val="22"/>
                <w:szCs w:val="22"/>
                <w:bdr w:val="nil"/>
                <w:lang w:val="de-DE"/>
              </w:rPr>
              <w:t>n</w:t>
            </w:r>
            <w:r>
              <w:rPr>
                <w:rFonts w:ascii="Arial" w:hAnsi="Arial" w:eastAsia="Arial" w:cs="Arial"/>
                <w:sz w:val="22"/>
                <w:szCs w:val="22"/>
                <w:bdr w:val="nil"/>
                <w:lang w:val="de-DE"/>
              </w:rPr>
              <w:t xml:space="preserve"> Hinblick auf die zeitlichen Beschränkungen jener Personen, die die Dienste der Stelle in Anspruch nehmen möchten.</w:t>
            </w:r>
          </w:p>
          <w:p w:rsidRPr="00C0685F" w:rsidR="002F3939" w:rsidP="005B4190" w:rsidRDefault="0078680C" w14:paraId="40DAECB5" w14:textId="36DDC8A5">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Lokale Outreach-Initiativen und lokale und regionale Büros für das Durchführen der Tätigkeit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p>
          <w:p w:rsidRPr="00C0685F" w:rsidR="002F3939" w:rsidP="00C0685F" w:rsidRDefault="0078680C" w14:paraId="29B7B897" w14:textId="4D6D7914">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In Schlüsselmomenten bei jenen Gruppen </w:t>
            </w:r>
            <w:r w:rsidR="00AB255C">
              <w:rPr>
                <w:rFonts w:ascii="Arial" w:hAnsi="Arial" w:eastAsia="Arial" w:cs="Arial"/>
                <w:sz w:val="22"/>
                <w:szCs w:val="22"/>
                <w:bdr w:val="nil"/>
                <w:lang w:val="de-DE"/>
              </w:rPr>
              <w:t xml:space="preserve">präsent </w:t>
            </w:r>
            <w:r>
              <w:rPr>
                <w:rFonts w:ascii="Arial" w:hAnsi="Arial" w:eastAsia="Arial" w:cs="Arial"/>
                <w:sz w:val="22"/>
                <w:szCs w:val="22"/>
                <w:bdr w:val="nil"/>
                <w:lang w:val="de-DE"/>
              </w:rPr>
              <w:t xml:space="preserve">zu </w:t>
            </w:r>
            <w:r w:rsidR="00AB255C">
              <w:rPr>
                <w:rFonts w:ascii="Arial" w:hAnsi="Arial" w:eastAsia="Arial" w:cs="Arial"/>
                <w:sz w:val="22"/>
                <w:szCs w:val="22"/>
                <w:bdr w:val="nil"/>
                <w:lang w:val="de-DE"/>
              </w:rPr>
              <w:t>sein</w:t>
            </w:r>
            <w:r w:rsidRPr="00AB255C">
              <w:rPr>
                <w:rFonts w:ascii="Arial" w:hAnsi="Arial" w:eastAsia="Arial" w:cs="Arial"/>
                <w:sz w:val="22"/>
                <w:szCs w:val="22"/>
                <w:bdr w:val="nil"/>
                <w:lang w:val="de-DE"/>
              </w:rPr>
              <w:t xml:space="preserve">, die Diskriminierung und Intoleranz ausgesetzt sind, und </w:t>
            </w:r>
            <w:r w:rsidRPr="00AB255C" w:rsidR="00AB255C">
              <w:rPr>
                <w:rFonts w:ascii="Arial" w:hAnsi="Arial" w:eastAsia="Arial" w:cs="Arial"/>
                <w:sz w:val="22"/>
                <w:szCs w:val="22"/>
                <w:bdr w:val="nil"/>
                <w:lang w:val="de-DE"/>
              </w:rPr>
              <w:t xml:space="preserve">mit ihnen </w:t>
            </w:r>
            <w:r w:rsidRPr="00AB255C">
              <w:rPr>
                <w:rFonts w:ascii="Arial" w:hAnsi="Arial" w:eastAsia="Arial" w:cs="Arial"/>
                <w:sz w:val="22"/>
                <w:szCs w:val="22"/>
                <w:bdr w:val="nil"/>
                <w:lang w:val="de-DE"/>
              </w:rPr>
              <w:t xml:space="preserve">nachhaltige </w:t>
            </w:r>
            <w:r w:rsidRPr="00AB255C" w:rsidR="00AB255C">
              <w:rPr>
                <w:rFonts w:ascii="Arial" w:hAnsi="Arial" w:eastAsia="Arial" w:cs="Arial"/>
                <w:sz w:val="22"/>
                <w:szCs w:val="22"/>
                <w:bdr w:val="nil"/>
                <w:lang w:val="de-DE"/>
              </w:rPr>
              <w:t>Beziehungen aufzubauen</w:t>
            </w:r>
            <w:r w:rsidRPr="00AB255C">
              <w:rPr>
                <w:rFonts w:ascii="Arial" w:hAnsi="Arial" w:eastAsia="Arial" w:cs="Arial"/>
                <w:sz w:val="22"/>
                <w:szCs w:val="22"/>
                <w:bdr w:val="nil"/>
                <w:lang w:val="de-DE"/>
              </w:rPr>
              <w:t xml:space="preserve">, wie in </w:t>
            </w:r>
            <w:r w:rsidR="00786C47">
              <w:rPr>
                <w:rFonts w:ascii="Arial" w:hAnsi="Arial" w:eastAsia="Arial" w:cs="Arial"/>
                <w:sz w:val="22"/>
                <w:szCs w:val="22"/>
                <w:bdr w:val="nil"/>
                <w:lang w:val="de-DE"/>
              </w:rPr>
              <w:t>§ </w:t>
            </w:r>
            <w:r w:rsidRPr="00AB255C">
              <w:rPr>
                <w:rFonts w:ascii="Arial" w:hAnsi="Arial" w:eastAsia="Arial" w:cs="Arial"/>
                <w:sz w:val="22"/>
                <w:szCs w:val="22"/>
                <w:bdr w:val="nil"/>
                <w:lang w:val="de-DE"/>
              </w:rPr>
              <w:t>12b ausgeführt.</w:t>
            </w:r>
          </w:p>
          <w:p w:rsidRPr="00C0685F" w:rsidR="002F3939" w:rsidP="0040337D" w:rsidRDefault="0078680C" w14:paraId="083154B9" w14:textId="2A7D4E68">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Die Möglichkeit für Menschen, die Diskriminierung und Intoleranz ausgesetzt sind,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AB255C">
              <w:rPr>
                <w:rFonts w:ascii="Arial" w:hAnsi="Arial" w:eastAsia="Arial" w:cs="Arial"/>
                <w:sz w:val="22"/>
                <w:szCs w:val="22"/>
                <w:bdr w:val="nil"/>
                <w:lang w:val="de-DE"/>
              </w:rPr>
              <w:t xml:space="preserve">auf vertraulicher Basis </w:t>
            </w:r>
            <w:r>
              <w:rPr>
                <w:rFonts w:ascii="Arial" w:hAnsi="Arial" w:eastAsia="Arial" w:cs="Arial"/>
                <w:sz w:val="22"/>
                <w:szCs w:val="22"/>
                <w:bdr w:val="nil"/>
                <w:lang w:val="de-DE"/>
              </w:rPr>
              <w:t xml:space="preserve">und in einer Sprache </w:t>
            </w:r>
            <w:r w:rsidR="00AB255C">
              <w:rPr>
                <w:rFonts w:ascii="Arial" w:hAnsi="Arial" w:eastAsia="Arial" w:cs="Arial"/>
                <w:sz w:val="22"/>
                <w:szCs w:val="22"/>
                <w:bdr w:val="nil"/>
                <w:lang w:val="de-DE"/>
              </w:rPr>
              <w:t>zu kontaktieren</w:t>
            </w:r>
            <w:r>
              <w:rPr>
                <w:rFonts w:ascii="Arial" w:hAnsi="Arial" w:eastAsia="Arial" w:cs="Arial"/>
                <w:sz w:val="22"/>
                <w:szCs w:val="22"/>
                <w:bdr w:val="nil"/>
                <w:lang w:val="de-DE"/>
              </w:rPr>
              <w:t xml:space="preserve">, die sie beherrschen, </w:t>
            </w:r>
            <w:r w:rsidR="00AB255C">
              <w:rPr>
                <w:rFonts w:ascii="Arial" w:hAnsi="Arial" w:eastAsia="Arial" w:cs="Arial"/>
                <w:sz w:val="22"/>
                <w:szCs w:val="22"/>
                <w:bdr w:val="nil"/>
                <w:lang w:val="de-DE"/>
              </w:rPr>
              <w:t xml:space="preserve">direkten, </w:t>
            </w:r>
            <w:r>
              <w:rPr>
                <w:rFonts w:ascii="Arial" w:hAnsi="Arial" w:eastAsia="Arial" w:cs="Arial"/>
                <w:sz w:val="22"/>
                <w:szCs w:val="22"/>
                <w:bdr w:val="nil"/>
                <w:lang w:val="de-DE"/>
              </w:rPr>
              <w:t>persönliche</w:t>
            </w:r>
            <w:r w:rsidR="00AB255C">
              <w:rPr>
                <w:rFonts w:ascii="Arial" w:hAnsi="Arial" w:eastAsia="Arial" w:cs="Arial"/>
                <w:sz w:val="22"/>
                <w:szCs w:val="22"/>
                <w:bdr w:val="nil"/>
                <w:lang w:val="de-DE"/>
              </w:rPr>
              <w:t>n</w:t>
            </w:r>
            <w:r>
              <w:rPr>
                <w:rFonts w:ascii="Arial" w:hAnsi="Arial" w:eastAsia="Arial" w:cs="Arial"/>
                <w:sz w:val="22"/>
                <w:szCs w:val="22"/>
                <w:bdr w:val="nil"/>
                <w:lang w:val="de-DE"/>
              </w:rPr>
              <w:t xml:space="preserve"> Kontakt </w:t>
            </w:r>
            <w:r w:rsidR="00AB255C">
              <w:rPr>
                <w:rFonts w:ascii="Arial" w:hAnsi="Arial" w:eastAsia="Arial" w:cs="Arial"/>
                <w:sz w:val="22"/>
                <w:szCs w:val="22"/>
                <w:bdr w:val="nil"/>
                <w:lang w:val="de-DE"/>
              </w:rPr>
              <w:t xml:space="preserve">zu haben </w:t>
            </w:r>
            <w:r>
              <w:rPr>
                <w:rFonts w:ascii="Arial" w:hAnsi="Arial" w:eastAsia="Arial" w:cs="Arial"/>
                <w:sz w:val="22"/>
                <w:szCs w:val="22"/>
                <w:bdr w:val="nil"/>
                <w:lang w:val="de-DE"/>
              </w:rPr>
              <w:t xml:space="preserve">und </w:t>
            </w:r>
            <w:r w:rsidR="00AB255C">
              <w:rPr>
                <w:rFonts w:ascii="Arial" w:hAnsi="Arial" w:eastAsia="Arial" w:cs="Arial"/>
                <w:sz w:val="22"/>
                <w:szCs w:val="22"/>
                <w:bdr w:val="nil"/>
                <w:lang w:val="de-DE"/>
              </w:rPr>
              <w:t>B</w:t>
            </w:r>
            <w:r>
              <w:rPr>
                <w:rFonts w:ascii="Arial" w:hAnsi="Arial" w:eastAsia="Arial" w:cs="Arial"/>
                <w:sz w:val="22"/>
                <w:szCs w:val="22"/>
                <w:bdr w:val="nil"/>
                <w:lang w:val="de-DE"/>
              </w:rPr>
              <w:t xml:space="preserve">eschwerden in mündlicher oder schriftlicher Form </w:t>
            </w:r>
            <w:r w:rsidR="00EB5612">
              <w:rPr>
                <w:rFonts w:ascii="Arial" w:hAnsi="Arial" w:eastAsia="Arial" w:cs="Arial"/>
                <w:sz w:val="22"/>
                <w:szCs w:val="22"/>
                <w:bdr w:val="nil"/>
                <w:lang w:val="de-DE"/>
              </w:rPr>
              <w:t xml:space="preserve">oder online </w:t>
            </w:r>
            <w:r>
              <w:rPr>
                <w:rFonts w:ascii="Arial" w:hAnsi="Arial" w:eastAsia="Arial" w:cs="Arial"/>
                <w:sz w:val="22"/>
                <w:szCs w:val="22"/>
                <w:bdr w:val="nil"/>
                <w:lang w:val="de-DE"/>
              </w:rPr>
              <w:t>mit einem Minimum an Zulässigkeitsvoraussetzungen</w:t>
            </w:r>
            <w:r w:rsidR="00AB255C">
              <w:rPr>
                <w:rFonts w:ascii="Arial" w:hAnsi="Arial" w:eastAsia="Arial" w:cs="Arial"/>
                <w:sz w:val="22"/>
                <w:szCs w:val="22"/>
                <w:bdr w:val="nil"/>
                <w:lang w:val="de-DE"/>
              </w:rPr>
              <w:t xml:space="preserve"> einzureichen</w:t>
            </w:r>
            <w:r>
              <w:rPr>
                <w:rFonts w:ascii="Arial" w:hAnsi="Arial" w:eastAsia="Arial" w:cs="Arial"/>
                <w:sz w:val="22"/>
                <w:szCs w:val="22"/>
                <w:bdr w:val="nil"/>
                <w:lang w:val="de-DE"/>
              </w:rPr>
              <w:t>.</w:t>
            </w:r>
          </w:p>
          <w:p w:rsidRPr="00C0685F" w:rsidR="002F3939" w:rsidP="005B4190" w:rsidRDefault="0078680C" w14:paraId="678BE4D8" w14:textId="3E3D22C0">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Anpassung ihrer Räumlichkeiten, Dienste, Verfahren und Pra</w:t>
            </w:r>
            <w:r w:rsidR="00AB255C">
              <w:rPr>
                <w:rFonts w:ascii="Arial" w:hAnsi="Arial" w:eastAsia="Arial" w:cs="Arial"/>
                <w:sz w:val="22"/>
                <w:szCs w:val="22"/>
                <w:bdr w:val="nil"/>
                <w:lang w:val="de-DE"/>
              </w:rPr>
              <w:t>ktiken</w:t>
            </w:r>
            <w:r>
              <w:rPr>
                <w:rFonts w:ascii="Arial" w:hAnsi="Arial" w:eastAsia="Arial" w:cs="Arial"/>
                <w:sz w:val="22"/>
                <w:szCs w:val="22"/>
                <w:bdr w:val="nil"/>
                <w:lang w:val="de-DE"/>
              </w:rPr>
              <w:t xml:space="preserve"> an alle Formen von Behinderung.</w:t>
            </w:r>
          </w:p>
          <w:p w:rsidRPr="00C0685F" w:rsidR="002F3939" w:rsidP="0040337D" w:rsidRDefault="0078680C" w14:paraId="7CD70FAD" w14:textId="01AA3D73">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Den Einsatz einer leicht verständlichen Sprache in Publikationen, insbesondere jenen, die über Rechte und Rechtsmittel informieren, sowie Übersetzung ausgewählter Publikationen in alle Sprachen, die </w:t>
            </w:r>
            <w:r w:rsidR="00D4725B">
              <w:rPr>
                <w:rFonts w:ascii="Arial" w:hAnsi="Arial" w:eastAsia="Arial" w:cs="Arial"/>
                <w:sz w:val="22"/>
                <w:szCs w:val="22"/>
                <w:bdr w:val="nil"/>
                <w:lang w:val="de-DE"/>
              </w:rPr>
              <w:t>im</w:t>
            </w:r>
            <w:r>
              <w:rPr>
                <w:rFonts w:ascii="Arial" w:hAnsi="Arial" w:eastAsia="Arial" w:cs="Arial"/>
                <w:sz w:val="22"/>
                <w:szCs w:val="22"/>
                <w:bdr w:val="nil"/>
                <w:lang w:val="de-DE"/>
              </w:rPr>
              <w:t xml:space="preserve"> jeweiligen Land </w:t>
            </w:r>
            <w:r w:rsidR="00D4725B">
              <w:rPr>
                <w:rFonts w:ascii="Arial" w:hAnsi="Arial" w:eastAsia="Arial" w:cs="Arial"/>
                <w:sz w:val="22"/>
                <w:szCs w:val="22"/>
                <w:bdr w:val="nil"/>
                <w:lang w:val="de-DE"/>
              </w:rPr>
              <w:t xml:space="preserve">häufig </w:t>
            </w:r>
            <w:r>
              <w:rPr>
                <w:rFonts w:ascii="Arial" w:hAnsi="Arial" w:eastAsia="Arial" w:cs="Arial"/>
                <w:sz w:val="22"/>
                <w:szCs w:val="22"/>
                <w:bdr w:val="nil"/>
                <w:lang w:val="de-DE"/>
              </w:rPr>
              <w:t>benutzt werden.</w:t>
            </w:r>
          </w:p>
          <w:p w:rsidRPr="00C0685F" w:rsidR="002F3939" w:rsidP="004F624F" w:rsidRDefault="0078680C" w14:paraId="61815E8D" w14:textId="3768CC9D">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 xml:space="preserve">Die Funktionen und Dienste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den Beschwerdeführern und -gegnern kostenlos zur Verfügung </w:t>
            </w:r>
            <w:r w:rsidR="00D4725B">
              <w:rPr>
                <w:rFonts w:ascii="Arial" w:hAnsi="Arial" w:eastAsia="Arial" w:cs="Arial"/>
                <w:sz w:val="22"/>
                <w:szCs w:val="22"/>
                <w:bdr w:val="nil"/>
                <w:lang w:val="de-DE"/>
              </w:rPr>
              <w:t>zu stellen</w:t>
            </w:r>
            <w:r>
              <w:rPr>
                <w:rFonts w:ascii="Arial" w:hAnsi="Arial" w:eastAsia="Arial" w:cs="Arial"/>
                <w:sz w:val="22"/>
                <w:szCs w:val="22"/>
                <w:bdr w:val="nil"/>
                <w:lang w:val="de-DE"/>
              </w:rPr>
              <w:t>.</w:t>
            </w:r>
          </w:p>
          <w:p w:rsidRPr="00C0685F" w:rsidR="002F3939" w:rsidP="0040337D" w:rsidRDefault="00D4725B" w14:paraId="3B15270E" w14:textId="19428A9F">
            <w:pPr>
              <w:numPr>
                <w:ilvl w:val="0"/>
                <w:numId w:val="11"/>
              </w:numPr>
              <w:tabs>
                <w:tab w:val="clear" w:pos="340"/>
                <w:tab w:val="num" w:pos="709"/>
                <w:tab w:val="left" w:pos="3828"/>
              </w:tabs>
              <w:spacing w:before="100" w:beforeAutospacing="1" w:after="100" w:afterAutospacing="1" w:line="240" w:lineRule="exact"/>
              <w:ind w:left="709"/>
              <w:jc w:val="both"/>
              <w:rPr>
                <w:rFonts w:ascii="Arial" w:hAnsi="Arial"/>
                <w:sz w:val="22"/>
                <w:lang w:val="de-DE"/>
              </w:rPr>
            </w:pPr>
            <w:r>
              <w:rPr>
                <w:rFonts w:ascii="Arial" w:hAnsi="Arial" w:eastAsia="Arial" w:cs="Arial"/>
                <w:sz w:val="22"/>
                <w:szCs w:val="22"/>
                <w:bdr w:val="nil"/>
                <w:lang w:val="de-DE"/>
              </w:rPr>
              <w:t>D</w:t>
            </w:r>
            <w:r w:rsidR="00EB5612">
              <w:rPr>
                <w:rFonts w:ascii="Arial" w:hAnsi="Arial" w:eastAsia="Arial" w:cs="Arial"/>
                <w:sz w:val="22"/>
                <w:szCs w:val="22"/>
                <w:bdr w:val="nil"/>
                <w:lang w:val="de-DE"/>
              </w:rPr>
              <w:t>ie Durchführung</w:t>
            </w:r>
            <w:r w:rsidR="0078680C">
              <w:rPr>
                <w:rFonts w:ascii="Arial" w:hAnsi="Arial" w:eastAsia="Arial" w:cs="Arial"/>
                <w:sz w:val="22"/>
                <w:szCs w:val="22"/>
                <w:bdr w:val="nil"/>
                <w:lang w:val="de-DE"/>
              </w:rPr>
              <w:t xml:space="preserve"> von Maßnahmen</w:t>
            </w:r>
            <w:r w:rsidR="00EB5612">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um </w:t>
            </w:r>
            <w:r w:rsidR="0078680C">
              <w:rPr>
                <w:rFonts w:ascii="Arial" w:hAnsi="Arial" w:eastAsia="Arial" w:cs="Arial"/>
                <w:sz w:val="22"/>
                <w:szCs w:val="22"/>
                <w:bdr w:val="nil"/>
                <w:lang w:val="de-DE"/>
              </w:rPr>
              <w:t xml:space="preserve">diese </w:t>
            </w:r>
            <w:r>
              <w:rPr>
                <w:rFonts w:ascii="Arial" w:hAnsi="Arial" w:eastAsia="Arial" w:cs="Arial"/>
                <w:sz w:val="22"/>
                <w:szCs w:val="22"/>
                <w:bdr w:val="nil"/>
                <w:lang w:val="de-DE"/>
              </w:rPr>
              <w:t>Vorkehrungen bekannt zu machen und in die Tat umzusetzen.</w:t>
            </w:r>
          </w:p>
        </w:tc>
      </w:tr>
      <w:tr w:rsidR="00D8651C" w:rsidTr="00C0685F" w14:paraId="07747123" w14:textId="77777777">
        <w:tc>
          <w:tcPr>
            <w:tcW w:w="9640" w:type="dxa"/>
            <w:shd w:val="clear" w:color="auto" w:fill="auto"/>
            <w:tcMar>
              <w:left w:w="108" w:type="dxa"/>
            </w:tcMar>
          </w:tcPr>
          <w:p w:rsidRPr="006353CB" w:rsidR="002F3939" w:rsidP="008E2E49" w:rsidRDefault="0078680C" w14:paraId="43C569B1" w14:textId="77777777">
            <w:pPr>
              <w:pStyle w:val="ListParagraph"/>
              <w:keepNext/>
              <w:numPr>
                <w:ilvl w:val="0"/>
                <w:numId w:val="29"/>
              </w:numPr>
              <w:tabs>
                <w:tab w:val="left" w:pos="0"/>
              </w:tabs>
              <w:spacing w:before="100" w:beforeAutospacing="1" w:after="100" w:afterAutospacing="1" w:line="240" w:lineRule="exact"/>
              <w:ind w:left="743"/>
              <w:jc w:val="both"/>
              <w:outlineLvl w:val="0"/>
              <w:rPr>
                <w:rFonts w:ascii="Arial" w:hAnsi="Arial" w:cs="Arial"/>
                <w:b/>
                <w:sz w:val="22"/>
                <w:szCs w:val="22"/>
                <w:lang w:val="en-GB"/>
              </w:rPr>
            </w:pPr>
            <w:r>
              <w:rPr>
                <w:rFonts w:ascii="Arial" w:hAnsi="Arial" w:eastAsia="Arial" w:cs="Arial"/>
                <w:b/>
                <w:bCs/>
                <w:sz w:val="22"/>
                <w:szCs w:val="22"/>
                <w:bdr w:val="nil"/>
                <w:lang w:val="de-DE"/>
              </w:rPr>
              <w:t xml:space="preserve">Monitoring </w:t>
            </w:r>
          </w:p>
        </w:tc>
      </w:tr>
      <w:tr w:rsidRPr="00C0685F" w:rsidR="00D8651C" w:rsidTr="00C0685F" w14:paraId="3D083955" w14:textId="77777777">
        <w:tc>
          <w:tcPr>
            <w:tcW w:w="9640" w:type="dxa"/>
            <w:shd w:val="clear" w:color="auto" w:fill="auto"/>
            <w:tcMar>
              <w:left w:w="108" w:type="dxa"/>
            </w:tcMar>
          </w:tcPr>
          <w:p w:rsidRPr="00C0685F" w:rsidR="002F3939" w:rsidP="0040337D" w:rsidRDefault="0078680C" w14:paraId="19250A48" w14:textId="16608965">
            <w:pPr>
              <w:numPr>
                <w:ilvl w:val="0"/>
                <w:numId w:val="1"/>
              </w:numPr>
              <w:tabs>
                <w:tab w:val="left" w:pos="709"/>
              </w:tabs>
              <w:spacing w:before="100" w:beforeAutospacing="1" w:after="100" w:afterAutospacing="1" w:line="240" w:lineRule="exact"/>
              <w:jc w:val="both"/>
              <w:rPr>
                <w:rFonts w:ascii="Arial" w:hAnsi="Arial"/>
                <w:sz w:val="22"/>
                <w:lang w:val="de-DE"/>
              </w:rPr>
            </w:pPr>
            <w:r>
              <w:rPr>
                <w:rFonts w:ascii="Arial" w:hAnsi="Arial" w:eastAsia="Arial" w:cs="Arial"/>
                <w:sz w:val="22"/>
                <w:szCs w:val="22"/>
                <w:bdr w:val="nil"/>
                <w:lang w:val="de-DE"/>
              </w:rPr>
              <w:t xml:space="preserve">Das Monitoring der Umsetzung dieser Allgemeinen </w:t>
            </w:r>
            <w:r w:rsidR="00252385">
              <w:rPr>
                <w:rFonts w:ascii="Arial" w:hAnsi="Arial" w:eastAsia="Arial" w:cs="Arial"/>
                <w:sz w:val="22"/>
                <w:szCs w:val="22"/>
                <w:bdr w:val="nil"/>
                <w:lang w:val="de-DE"/>
              </w:rPr>
              <w:t>Politik</w:t>
            </w:r>
            <w:r w:rsidR="00D4725B">
              <w:rPr>
                <w:rFonts w:ascii="Arial" w:hAnsi="Arial" w:eastAsia="Arial" w:cs="Arial"/>
                <w:sz w:val="22"/>
                <w:szCs w:val="22"/>
                <w:bdr w:val="nil"/>
                <w:lang w:val="de-DE"/>
              </w:rPr>
              <w:t>e</w:t>
            </w:r>
            <w:r>
              <w:rPr>
                <w:rFonts w:ascii="Arial" w:hAnsi="Arial" w:eastAsia="Arial" w:cs="Arial"/>
                <w:sz w:val="22"/>
                <w:szCs w:val="22"/>
                <w:bdr w:val="nil"/>
                <w:lang w:val="de-DE"/>
              </w:rPr>
              <w:t xml:space="preserve">mpfehlung </w:t>
            </w:r>
            <w:r w:rsidR="00D4725B">
              <w:rPr>
                <w:rFonts w:ascii="Arial" w:hAnsi="Arial" w:eastAsia="Arial" w:cs="Arial"/>
                <w:sz w:val="22"/>
                <w:szCs w:val="22"/>
                <w:bdr w:val="nil"/>
                <w:lang w:val="de-DE"/>
              </w:rPr>
              <w:t xml:space="preserve">wird </w:t>
            </w:r>
            <w:r>
              <w:rPr>
                <w:rFonts w:ascii="Arial" w:hAnsi="Arial" w:eastAsia="Arial" w:cs="Arial"/>
                <w:sz w:val="22"/>
                <w:szCs w:val="22"/>
                <w:bdr w:val="nil"/>
                <w:lang w:val="de-DE"/>
              </w:rPr>
              <w:t>Teil des Länder-Monitoring</w:t>
            </w:r>
            <w:r w:rsidR="00D4725B">
              <w:rPr>
                <w:rFonts w:ascii="Arial" w:hAnsi="Arial" w:eastAsia="Arial" w:cs="Arial"/>
                <w:sz w:val="22"/>
                <w:szCs w:val="22"/>
                <w:bdr w:val="nil"/>
                <w:lang w:val="de-DE"/>
              </w:rPr>
              <w:t>s</w:t>
            </w:r>
            <w:r>
              <w:rPr>
                <w:rFonts w:ascii="Arial" w:hAnsi="Arial" w:eastAsia="Arial" w:cs="Arial"/>
                <w:sz w:val="22"/>
                <w:szCs w:val="22"/>
                <w:bdr w:val="nil"/>
                <w:lang w:val="de-DE"/>
              </w:rPr>
              <w:t xml:space="preserve"> und des konstruktiven Dialogs zwischen ECRI und den Mitgliedstaaten des Europarats.</w:t>
            </w:r>
          </w:p>
        </w:tc>
      </w:tr>
    </w:tbl>
    <w:p w:rsidRPr="00C0685F" w:rsidR="00511C2A" w:rsidP="005B4190" w:rsidRDefault="00511C2A" w14:paraId="7F8C4F29" w14:textId="77777777">
      <w:pPr>
        <w:spacing w:before="100" w:beforeAutospacing="1" w:after="100" w:afterAutospacing="1"/>
        <w:rPr>
          <w:lang w:val="de-DE"/>
        </w:rPr>
        <w:sectPr w:rsidRPr="00C0685F" w:rsidR="00511C2A" w:rsidSect="004B73F0">
          <w:footerReference w:type="even" r:id="rId19"/>
          <w:type w:val="continuous"/>
          <w:pgSz w:w="11907" w:h="16840" w:code="9"/>
          <w:pgMar w:top="1418" w:right="1134" w:bottom="1418" w:left="1418" w:header="709" w:footer="709" w:gutter="0"/>
          <w:cols w:space="720"/>
          <w:formProt w:val="0"/>
          <w:titlePg/>
          <w:docGrid w:linePitch="360" w:charSpace="-6145"/>
        </w:sectPr>
      </w:pPr>
    </w:p>
    <w:tbl>
      <w:tblPr>
        <w:tblStyle w:val="TableGrid"/>
        <w:tblW w:w="946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14"/>
        <w:gridCol w:w="649"/>
      </w:tblGrid>
      <w:tr w:rsidR="00D8651C" w:rsidTr="00C0685F" w14:paraId="75D1DF4F" w14:textId="77777777">
        <w:trPr>
          <w:gridAfter w:val="1"/>
          <w:wAfter w:w="649" w:type="dxa"/>
        </w:trPr>
        <w:tc>
          <w:tcPr>
            <w:tcW w:w="0" w:type="auto"/>
          </w:tcPr>
          <w:p w:rsidRPr="006353CB" w:rsidR="00DD016F" w:rsidP="008A41A1" w:rsidRDefault="0078680C" w14:paraId="44C5DD91" w14:textId="77777777">
            <w:pPr>
              <w:spacing w:before="100" w:beforeAutospacing="1" w:after="100" w:afterAutospacing="1"/>
              <w:jc w:val="center"/>
              <w:rPr>
                <w:rFonts w:ascii="Arial" w:hAnsi="Arial" w:cs="Arial"/>
                <w:b/>
                <w:sz w:val="28"/>
                <w:szCs w:val="28"/>
              </w:rPr>
            </w:pPr>
            <w:r>
              <w:rPr>
                <w:rFonts w:ascii="Arial" w:hAnsi="Arial" w:eastAsia="Arial" w:cs="Arial"/>
                <w:b/>
                <w:bCs/>
                <w:sz w:val="28"/>
                <w:szCs w:val="28"/>
                <w:bdr w:val="nil"/>
                <w:lang w:val="de-DE"/>
              </w:rPr>
              <w:lastRenderedPageBreak/>
              <w:t>Begründungstext</w:t>
            </w:r>
          </w:p>
        </w:tc>
      </w:tr>
      <w:tr w:rsidR="00D8651C" w:rsidTr="00C0685F" w14:paraId="783BDB0A" w14:textId="77777777">
        <w:trPr>
          <w:gridAfter w:val="1"/>
          <w:wAfter w:w="649" w:type="dxa"/>
        </w:trPr>
        <w:tc>
          <w:tcPr>
            <w:tcW w:w="0" w:type="auto"/>
          </w:tcPr>
          <w:p w:rsidRPr="006353CB" w:rsidR="00DD016F" w:rsidP="005B4190" w:rsidRDefault="0078680C" w14:paraId="0F70DF86" w14:textId="77777777">
            <w:pPr>
              <w:tabs>
                <w:tab w:val="left" w:pos="3828"/>
              </w:tabs>
              <w:spacing w:before="100" w:beforeAutospacing="1" w:after="100" w:afterAutospacing="1" w:line="240" w:lineRule="exact"/>
              <w:rPr>
                <w:rFonts w:ascii="Arial" w:hAnsi="Arial" w:cs="Arial"/>
                <w:b/>
                <w:szCs w:val="22"/>
              </w:rPr>
            </w:pPr>
            <w:r>
              <w:rPr>
                <w:rFonts w:ascii="Arial" w:hAnsi="Arial" w:eastAsia="Arial" w:cs="Arial"/>
                <w:b/>
                <w:bCs/>
                <w:bdr w:val="nil"/>
                <w:lang w:val="de-DE"/>
              </w:rPr>
              <w:t>Einleitung</w:t>
            </w:r>
          </w:p>
        </w:tc>
      </w:tr>
      <w:tr w:rsidRPr="00046FAE" w:rsidR="00D8651C" w:rsidTr="00C0685F" w14:paraId="0EEB4841" w14:textId="77777777">
        <w:trPr>
          <w:gridAfter w:val="1"/>
          <w:wAfter w:w="649" w:type="dxa"/>
        </w:trPr>
        <w:tc>
          <w:tcPr>
            <w:tcW w:w="0" w:type="auto"/>
          </w:tcPr>
          <w:p w:rsidRPr="006C29B1" w:rsidR="00DD016F" w:rsidP="004B73F0" w:rsidRDefault="0078680C" w14:paraId="2B4EF3CA" w14:textId="5E18A330">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Diese Allgemeine </w:t>
            </w:r>
            <w:r w:rsidR="00252385">
              <w:rPr>
                <w:rFonts w:ascii="Arial" w:hAnsi="Arial" w:eastAsia="Arial" w:cs="Arial"/>
                <w:sz w:val="22"/>
                <w:szCs w:val="22"/>
                <w:bdr w:val="nil"/>
                <w:lang w:val="de-DE"/>
              </w:rPr>
              <w:t>Politik</w:t>
            </w:r>
            <w:r w:rsidR="00D4725B">
              <w:rPr>
                <w:rFonts w:ascii="Arial" w:hAnsi="Arial" w:eastAsia="Arial" w:cs="Arial"/>
                <w:sz w:val="22"/>
                <w:szCs w:val="22"/>
                <w:bdr w:val="nil"/>
                <w:lang w:val="de-DE"/>
              </w:rPr>
              <w:t>e</w:t>
            </w:r>
            <w:r>
              <w:rPr>
                <w:rFonts w:ascii="Arial" w:hAnsi="Arial" w:eastAsia="Arial" w:cs="Arial"/>
                <w:sz w:val="22"/>
                <w:szCs w:val="22"/>
                <w:bdr w:val="nil"/>
                <w:lang w:val="de-DE"/>
              </w:rPr>
              <w:t xml:space="preserve">mpfehlung </w:t>
            </w:r>
            <w:r w:rsidR="00D4725B">
              <w:rPr>
                <w:rFonts w:ascii="Arial" w:hAnsi="Arial" w:eastAsia="Arial" w:cs="Arial"/>
                <w:sz w:val="22"/>
                <w:szCs w:val="22"/>
                <w:bdr w:val="nil"/>
                <w:lang w:val="de-DE"/>
              </w:rPr>
              <w:t xml:space="preserve">(APE) </w:t>
            </w:r>
            <w:r>
              <w:rPr>
                <w:rFonts w:ascii="Arial" w:hAnsi="Arial" w:eastAsia="Arial" w:cs="Arial"/>
                <w:sz w:val="22"/>
                <w:szCs w:val="22"/>
                <w:bdr w:val="nil"/>
                <w:lang w:val="de-DE"/>
              </w:rPr>
              <w:t xml:space="preserve">befasst sich mit den </w:t>
            </w:r>
            <w:r w:rsidR="00D4725B">
              <w:rPr>
                <w:rFonts w:ascii="Arial" w:hAnsi="Arial" w:eastAsia="Arial" w:cs="Arial"/>
                <w:sz w:val="22"/>
                <w:szCs w:val="22"/>
                <w:bdr w:val="nil"/>
                <w:lang w:val="de-DE"/>
              </w:rPr>
              <w:t>Schlüssel</w:t>
            </w:r>
            <w:r>
              <w:rPr>
                <w:rFonts w:ascii="Arial" w:hAnsi="Arial" w:eastAsia="Arial" w:cs="Arial"/>
                <w:sz w:val="22"/>
                <w:szCs w:val="22"/>
                <w:bdr w:val="nil"/>
                <w:lang w:val="de-DE"/>
              </w:rPr>
              <w:t>e</w:t>
            </w:r>
            <w:r w:rsidR="0070041C">
              <w:rPr>
                <w:rFonts w:ascii="Arial" w:hAnsi="Arial" w:eastAsia="Arial" w:cs="Arial"/>
                <w:sz w:val="22"/>
                <w:szCs w:val="22"/>
                <w:bdr w:val="nil"/>
                <w:lang w:val="de-DE"/>
              </w:rPr>
              <w:t>le</w:t>
            </w:r>
            <w:r>
              <w:rPr>
                <w:rFonts w:ascii="Arial" w:hAnsi="Arial" w:eastAsia="Arial" w:cs="Arial"/>
                <w:sz w:val="22"/>
                <w:szCs w:val="22"/>
                <w:bdr w:val="nil"/>
                <w:lang w:val="de-DE"/>
              </w:rPr>
              <w:t xml:space="preserve">menten für die </w:t>
            </w:r>
            <w:r w:rsidR="00D4725B">
              <w:rPr>
                <w:rFonts w:ascii="Arial" w:hAnsi="Arial" w:eastAsia="Arial" w:cs="Arial"/>
                <w:sz w:val="22"/>
                <w:szCs w:val="22"/>
                <w:bdr w:val="nil"/>
                <w:lang w:val="de-DE"/>
              </w:rPr>
              <w:t xml:space="preserve">Errichtung </w:t>
            </w:r>
            <w:r>
              <w:rPr>
                <w:rFonts w:ascii="Arial" w:hAnsi="Arial" w:eastAsia="Arial" w:cs="Arial"/>
                <w:sz w:val="22"/>
                <w:szCs w:val="22"/>
                <w:bdr w:val="nil"/>
                <w:lang w:val="de-DE"/>
              </w:rPr>
              <w:t>und d</w:t>
            </w:r>
            <w:r w:rsidR="0070041C">
              <w:rPr>
                <w:rFonts w:ascii="Arial" w:hAnsi="Arial" w:eastAsia="Arial" w:cs="Arial"/>
                <w:sz w:val="22"/>
                <w:szCs w:val="22"/>
                <w:bdr w:val="nil"/>
                <w:lang w:val="de-DE"/>
              </w:rPr>
              <w:t>en</w:t>
            </w:r>
            <w:r>
              <w:rPr>
                <w:rFonts w:ascii="Arial" w:hAnsi="Arial" w:eastAsia="Arial" w:cs="Arial"/>
                <w:sz w:val="22"/>
                <w:szCs w:val="22"/>
                <w:bdr w:val="nil"/>
                <w:lang w:val="de-DE"/>
              </w:rPr>
              <w:t xml:space="preserve"> Betr</w:t>
            </w:r>
            <w:r w:rsidR="0070041C">
              <w:rPr>
                <w:rFonts w:ascii="Arial" w:hAnsi="Arial" w:eastAsia="Arial" w:cs="Arial"/>
                <w:sz w:val="22"/>
                <w:szCs w:val="22"/>
                <w:bdr w:val="nil"/>
                <w:lang w:val="de-DE"/>
              </w:rPr>
              <w:t>ieb</w:t>
            </w:r>
            <w:r>
              <w:rPr>
                <w:rFonts w:ascii="Arial" w:hAnsi="Arial" w:eastAsia="Arial" w:cs="Arial"/>
                <w:sz w:val="22"/>
                <w:szCs w:val="22"/>
                <w:bdr w:val="nil"/>
                <w:lang w:val="de-DE"/>
              </w:rPr>
              <w:t xml:space="preserve">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die </w:t>
            </w:r>
            <w:r w:rsidR="0070041C">
              <w:rPr>
                <w:rFonts w:ascii="Arial" w:hAnsi="Arial" w:eastAsia="Arial" w:cs="Arial"/>
                <w:sz w:val="22"/>
                <w:szCs w:val="22"/>
                <w:bdr w:val="nil"/>
                <w:lang w:val="de-DE"/>
              </w:rPr>
              <w:t>in der Lage sind, greifbare Fortschritte zu erzielen</w:t>
            </w:r>
            <w:r>
              <w:rPr>
                <w:rFonts w:ascii="Arial" w:hAnsi="Arial" w:eastAsia="Arial" w:cs="Arial"/>
                <w:sz w:val="22"/>
                <w:szCs w:val="22"/>
                <w:bdr w:val="nil"/>
                <w:lang w:val="de-DE"/>
              </w:rPr>
              <w:t xml:space="preserve">. </w:t>
            </w:r>
            <w:r w:rsidR="00E95AB2">
              <w:rPr>
                <w:rFonts w:ascii="Arial" w:hAnsi="Arial" w:eastAsia="Arial" w:cs="Arial"/>
                <w:sz w:val="22"/>
                <w:szCs w:val="22"/>
                <w:bdr w:val="nil"/>
                <w:lang w:val="de-DE"/>
              </w:rPr>
              <w:t>Solche Stellen sind von ausschlaggebender Bedeutung f</w:t>
            </w:r>
            <w:r>
              <w:rPr>
                <w:rFonts w:ascii="Arial" w:hAnsi="Arial" w:eastAsia="Arial" w:cs="Arial"/>
                <w:sz w:val="22"/>
                <w:szCs w:val="22"/>
                <w:bdr w:val="nil"/>
                <w:lang w:val="de-DE"/>
              </w:rPr>
              <w:t xml:space="preserve">ür </w:t>
            </w:r>
            <w:r w:rsidR="0070041C">
              <w:rPr>
                <w:rFonts w:ascii="Arial" w:hAnsi="Arial" w:eastAsia="Arial" w:cs="Arial"/>
                <w:sz w:val="22"/>
                <w:szCs w:val="22"/>
                <w:bdr w:val="nil"/>
                <w:lang w:val="de-DE"/>
              </w:rPr>
              <w:t>die Förderung von Gleichheit</w:t>
            </w:r>
            <w:r>
              <w:rPr>
                <w:rFonts w:ascii="Arial" w:hAnsi="Arial" w:eastAsia="Arial" w:cs="Arial"/>
                <w:sz w:val="22"/>
                <w:szCs w:val="22"/>
                <w:bdr w:val="nil"/>
                <w:lang w:val="de-DE"/>
              </w:rPr>
              <w:t xml:space="preserve"> und </w:t>
            </w:r>
            <w:r w:rsidR="0070041C">
              <w:rPr>
                <w:rFonts w:ascii="Arial" w:hAnsi="Arial" w:eastAsia="Arial" w:cs="Arial"/>
                <w:sz w:val="22"/>
                <w:szCs w:val="22"/>
                <w:bdr w:val="nil"/>
                <w:lang w:val="de-DE"/>
              </w:rPr>
              <w:t xml:space="preserve">für die nachhaltige Eliminierung von </w:t>
            </w:r>
            <w:r>
              <w:rPr>
                <w:rFonts w:ascii="Arial" w:hAnsi="Arial" w:eastAsia="Arial" w:cs="Arial"/>
                <w:sz w:val="22"/>
                <w:szCs w:val="22"/>
                <w:bdr w:val="nil"/>
                <w:lang w:val="de-DE"/>
              </w:rPr>
              <w:t xml:space="preserve">Rassismus und Intoleranz.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E95AB2">
              <w:rPr>
                <w:rFonts w:ascii="Arial" w:hAnsi="Arial" w:eastAsia="Arial" w:cs="Arial"/>
                <w:sz w:val="22"/>
                <w:szCs w:val="22"/>
                <w:bdr w:val="nil"/>
                <w:lang w:val="de-DE"/>
              </w:rPr>
              <w:t>haben eine zentrale Rolle</w:t>
            </w:r>
            <w:r w:rsidR="0070041C">
              <w:rPr>
                <w:rFonts w:ascii="Arial" w:hAnsi="Arial" w:eastAsia="Arial" w:cs="Arial"/>
                <w:sz w:val="22"/>
                <w:szCs w:val="22"/>
                <w:bdr w:val="nil"/>
                <w:lang w:val="de-DE"/>
              </w:rPr>
              <w:t xml:space="preserve"> dabei</w:t>
            </w:r>
            <w:r w:rsidR="00E95AB2">
              <w:rPr>
                <w:rFonts w:ascii="Arial" w:hAnsi="Arial" w:eastAsia="Arial" w:cs="Arial"/>
                <w:sz w:val="22"/>
                <w:szCs w:val="22"/>
                <w:bdr w:val="nil"/>
                <w:lang w:val="de-DE"/>
              </w:rPr>
              <w:t>,</w:t>
            </w:r>
            <w:r>
              <w:rPr>
                <w:rFonts w:ascii="Arial" w:hAnsi="Arial" w:eastAsia="Arial" w:cs="Arial"/>
                <w:sz w:val="22"/>
                <w:szCs w:val="22"/>
                <w:bdr w:val="nil"/>
                <w:lang w:val="de-DE"/>
              </w:rPr>
              <w:t xml:space="preserve"> Menschen und Institutionen </w:t>
            </w:r>
            <w:r w:rsidR="00E95AB2">
              <w:rPr>
                <w:rFonts w:ascii="Arial" w:hAnsi="Arial" w:eastAsia="Arial" w:cs="Arial"/>
                <w:sz w:val="22"/>
                <w:szCs w:val="22"/>
                <w:bdr w:val="nil"/>
                <w:lang w:val="de-DE"/>
              </w:rPr>
              <w:t xml:space="preserve">für </w:t>
            </w:r>
            <w:r>
              <w:rPr>
                <w:rFonts w:ascii="Arial" w:hAnsi="Arial" w:eastAsia="Arial" w:cs="Arial"/>
                <w:sz w:val="22"/>
                <w:szCs w:val="22"/>
                <w:bdr w:val="nil"/>
                <w:lang w:val="de-DE"/>
              </w:rPr>
              <w:t xml:space="preserve">die Bedeutung </w:t>
            </w:r>
            <w:r w:rsidR="00832261">
              <w:rPr>
                <w:rFonts w:ascii="Arial" w:hAnsi="Arial" w:eastAsia="Arial" w:cs="Arial"/>
                <w:sz w:val="22"/>
                <w:szCs w:val="22"/>
                <w:bdr w:val="nil"/>
                <w:lang w:val="de-DE"/>
              </w:rPr>
              <w:t xml:space="preserve">von </w:t>
            </w:r>
            <w:r>
              <w:rPr>
                <w:rFonts w:ascii="Arial" w:hAnsi="Arial" w:eastAsia="Arial" w:cs="Arial"/>
                <w:sz w:val="22"/>
                <w:szCs w:val="22"/>
                <w:bdr w:val="nil"/>
                <w:lang w:val="de-DE"/>
              </w:rPr>
              <w:t>Gleich</w:t>
            </w:r>
            <w:r w:rsidR="0070041C">
              <w:rPr>
                <w:rFonts w:ascii="Arial" w:hAnsi="Arial" w:eastAsia="Arial" w:cs="Arial"/>
                <w:sz w:val="22"/>
                <w:szCs w:val="22"/>
                <w:bdr w:val="nil"/>
                <w:lang w:val="de-DE"/>
              </w:rPr>
              <w:t xml:space="preserve">heit </w:t>
            </w:r>
            <w:r w:rsidR="00E95AB2">
              <w:rPr>
                <w:rFonts w:ascii="Arial" w:hAnsi="Arial" w:eastAsia="Arial" w:cs="Arial"/>
                <w:sz w:val="22"/>
                <w:szCs w:val="22"/>
                <w:bdr w:val="nil"/>
                <w:lang w:val="de-DE"/>
              </w:rPr>
              <w:t>zu sensibilisieren</w:t>
            </w:r>
            <w:r>
              <w:rPr>
                <w:rFonts w:ascii="Arial" w:hAnsi="Arial" w:eastAsia="Arial" w:cs="Arial"/>
                <w:sz w:val="22"/>
                <w:szCs w:val="22"/>
                <w:bdr w:val="nil"/>
                <w:lang w:val="de-DE"/>
              </w:rPr>
              <w:t xml:space="preserve"> und sie da</w:t>
            </w:r>
            <w:r w:rsidR="00B356F2">
              <w:rPr>
                <w:rFonts w:ascii="Arial" w:hAnsi="Arial" w:eastAsia="Arial" w:cs="Arial"/>
                <w:sz w:val="22"/>
                <w:szCs w:val="22"/>
                <w:bdr w:val="nil"/>
                <w:lang w:val="de-DE"/>
              </w:rPr>
              <w:t>bei zu</w:t>
            </w:r>
            <w:r>
              <w:rPr>
                <w:rFonts w:ascii="Arial" w:hAnsi="Arial" w:eastAsia="Arial" w:cs="Arial"/>
                <w:sz w:val="22"/>
                <w:szCs w:val="22"/>
                <w:bdr w:val="nil"/>
                <w:lang w:val="de-DE"/>
              </w:rPr>
              <w:t xml:space="preserve"> unterstützen, </w:t>
            </w:r>
            <w:r w:rsidR="00E95AB2">
              <w:rPr>
                <w:rFonts w:ascii="Arial" w:hAnsi="Arial" w:eastAsia="Arial" w:cs="Arial"/>
                <w:sz w:val="22"/>
                <w:szCs w:val="22"/>
                <w:bdr w:val="nil"/>
                <w:lang w:val="de-DE"/>
              </w:rPr>
              <w:t>Schritte</w:t>
            </w:r>
            <w:r>
              <w:rPr>
                <w:rFonts w:ascii="Arial" w:hAnsi="Arial" w:eastAsia="Arial" w:cs="Arial"/>
                <w:sz w:val="22"/>
                <w:szCs w:val="22"/>
                <w:bdr w:val="nil"/>
                <w:lang w:val="de-DE"/>
              </w:rPr>
              <w:t xml:space="preserve"> zu</w:t>
            </w:r>
            <w:r w:rsidR="00E95AB2">
              <w:rPr>
                <w:rFonts w:ascii="Arial" w:hAnsi="Arial" w:eastAsia="Arial" w:cs="Arial"/>
                <w:sz w:val="22"/>
                <w:szCs w:val="22"/>
                <w:bdr w:val="nil"/>
                <w:lang w:val="de-DE"/>
              </w:rPr>
              <w:t>r Verwirklichung der Gleichheit zu unternehmen</w:t>
            </w:r>
            <w:r>
              <w:rPr>
                <w:rFonts w:ascii="Arial" w:hAnsi="Arial" w:eastAsia="Arial" w:cs="Arial"/>
                <w:sz w:val="22"/>
                <w:szCs w:val="22"/>
                <w:bdr w:val="nil"/>
                <w:lang w:val="de-DE"/>
              </w:rPr>
              <w:t xml:space="preserve">. </w:t>
            </w:r>
          </w:p>
        </w:tc>
      </w:tr>
      <w:tr w:rsidRPr="00046FAE" w:rsidR="00D8651C" w:rsidTr="00C0685F" w14:paraId="6AA1705C" w14:textId="77777777">
        <w:trPr>
          <w:gridAfter w:val="1"/>
          <w:wAfter w:w="649" w:type="dxa"/>
        </w:trPr>
        <w:tc>
          <w:tcPr>
            <w:tcW w:w="0" w:type="auto"/>
          </w:tcPr>
          <w:p w:rsidRPr="00C0685F" w:rsidR="00DD016F" w:rsidP="004B73F0" w:rsidRDefault="0078680C" w14:paraId="733F9E1B" w14:textId="1E727711">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Zwanzig Jahre nach </w:t>
            </w:r>
            <w:r w:rsidR="00E95AB2">
              <w:rPr>
                <w:rFonts w:ascii="Arial" w:hAnsi="Arial" w:eastAsia="Arial" w:cs="Arial"/>
                <w:sz w:val="22"/>
                <w:szCs w:val="22"/>
                <w:bdr w:val="nil"/>
                <w:lang w:val="de-DE"/>
              </w:rPr>
              <w:t xml:space="preserve">Verabschiedung </w:t>
            </w:r>
            <w:r>
              <w:rPr>
                <w:rFonts w:ascii="Arial" w:hAnsi="Arial" w:eastAsia="Arial" w:cs="Arial"/>
                <w:sz w:val="22"/>
                <w:szCs w:val="22"/>
                <w:bdr w:val="nil"/>
                <w:lang w:val="de-DE"/>
              </w:rPr>
              <w:t xml:space="preserve">der ursprünglichen </w:t>
            </w:r>
            <w:r w:rsidR="00E95AB2">
              <w:rPr>
                <w:rFonts w:ascii="Arial" w:hAnsi="Arial" w:eastAsia="Arial" w:cs="Arial"/>
                <w:sz w:val="22"/>
                <w:szCs w:val="22"/>
                <w:bdr w:val="nil"/>
                <w:lang w:val="de-DE"/>
              </w:rPr>
              <w:t xml:space="preserve">Version </w:t>
            </w:r>
            <w:r>
              <w:rPr>
                <w:rFonts w:ascii="Arial" w:hAnsi="Arial" w:eastAsia="Arial" w:cs="Arial"/>
                <w:sz w:val="22"/>
                <w:szCs w:val="22"/>
                <w:bdr w:val="nil"/>
                <w:lang w:val="de-DE"/>
              </w:rPr>
              <w:t xml:space="preserve">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2 im Jahr 1997 </w:t>
            </w:r>
            <w:r w:rsidR="00E95AB2">
              <w:rPr>
                <w:rFonts w:ascii="Arial" w:hAnsi="Arial" w:eastAsia="Arial" w:cs="Arial"/>
                <w:sz w:val="22"/>
                <w:szCs w:val="22"/>
                <w:bdr w:val="nil"/>
                <w:lang w:val="de-DE"/>
              </w:rPr>
              <w:t>beschloss</w:t>
            </w:r>
            <w:r>
              <w:rPr>
                <w:rFonts w:ascii="Arial" w:hAnsi="Arial" w:eastAsia="Arial" w:cs="Arial"/>
                <w:sz w:val="22"/>
                <w:szCs w:val="22"/>
                <w:bdr w:val="nil"/>
                <w:lang w:val="de-DE"/>
              </w:rPr>
              <w:t xml:space="preserve"> ECRI, </w:t>
            </w:r>
            <w:r w:rsidR="00E95AB2">
              <w:rPr>
                <w:rFonts w:ascii="Arial" w:hAnsi="Arial" w:eastAsia="Arial" w:cs="Arial"/>
                <w:sz w:val="22"/>
                <w:szCs w:val="22"/>
                <w:bdr w:val="nil"/>
                <w:lang w:val="de-DE"/>
              </w:rPr>
              <w:t>d</w:t>
            </w:r>
            <w:r>
              <w:rPr>
                <w:rFonts w:ascii="Arial" w:hAnsi="Arial" w:eastAsia="Arial" w:cs="Arial"/>
                <w:sz w:val="22"/>
                <w:szCs w:val="22"/>
                <w:bdr w:val="nil"/>
                <w:lang w:val="de-DE"/>
              </w:rPr>
              <w:t xml:space="preserve">en Text zu überarbeiten, </w:t>
            </w:r>
            <w:r w:rsidR="00E95AB2">
              <w:rPr>
                <w:rFonts w:ascii="Arial" w:hAnsi="Arial" w:eastAsia="Arial" w:cs="Arial"/>
                <w:sz w:val="22"/>
                <w:szCs w:val="22"/>
                <w:bdr w:val="nil"/>
                <w:lang w:val="de-DE"/>
              </w:rPr>
              <w:t>um</w:t>
            </w:r>
            <w:r>
              <w:rPr>
                <w:rFonts w:ascii="Arial" w:hAnsi="Arial" w:eastAsia="Arial" w:cs="Arial"/>
                <w:sz w:val="22"/>
                <w:szCs w:val="22"/>
                <w:bdr w:val="nil"/>
                <w:lang w:val="de-DE"/>
              </w:rPr>
              <w:t xml:space="preserve"> </w:t>
            </w:r>
            <w:r w:rsidR="007E516D">
              <w:rPr>
                <w:rFonts w:ascii="Arial" w:hAnsi="Arial" w:eastAsia="Arial" w:cs="Arial"/>
                <w:sz w:val="22"/>
                <w:szCs w:val="22"/>
                <w:bdr w:val="nil"/>
                <w:lang w:val="de-DE"/>
              </w:rPr>
              <w:t xml:space="preserve">in ihn </w:t>
            </w:r>
            <w:r>
              <w:rPr>
                <w:rFonts w:ascii="Arial" w:hAnsi="Arial" w:eastAsia="Arial" w:cs="Arial"/>
                <w:sz w:val="22"/>
                <w:szCs w:val="22"/>
                <w:bdr w:val="nil"/>
                <w:lang w:val="de-DE"/>
              </w:rPr>
              <w:t xml:space="preserve">die Erfahrungen und die vielen guten Praxisbeispiele </w:t>
            </w:r>
            <w:r w:rsidR="00E95AB2">
              <w:rPr>
                <w:rFonts w:ascii="Arial" w:hAnsi="Arial" w:eastAsia="Arial" w:cs="Arial"/>
                <w:sz w:val="22"/>
                <w:szCs w:val="22"/>
                <w:bdr w:val="nil"/>
                <w:lang w:val="de-DE"/>
              </w:rPr>
              <w:t>aufzunehmen</w:t>
            </w:r>
            <w:r>
              <w:rPr>
                <w:rFonts w:ascii="Arial" w:hAnsi="Arial" w:eastAsia="Arial" w:cs="Arial"/>
                <w:sz w:val="22"/>
                <w:szCs w:val="22"/>
                <w:bdr w:val="nil"/>
                <w:lang w:val="de-DE"/>
              </w:rPr>
              <w:t xml:space="preserve">, die </w:t>
            </w:r>
            <w:r w:rsidR="007E516D">
              <w:rPr>
                <w:rFonts w:ascii="Arial" w:hAnsi="Arial" w:eastAsia="Arial" w:cs="Arial"/>
                <w:sz w:val="22"/>
                <w:szCs w:val="22"/>
                <w:bdr w:val="nil"/>
                <w:lang w:val="de-DE"/>
              </w:rPr>
              <w:t xml:space="preserve">sich </w:t>
            </w:r>
            <w:r>
              <w:rPr>
                <w:rFonts w:ascii="Arial" w:hAnsi="Arial" w:eastAsia="Arial" w:cs="Arial"/>
                <w:sz w:val="22"/>
                <w:szCs w:val="22"/>
                <w:bdr w:val="nil"/>
                <w:lang w:val="de-DE"/>
              </w:rPr>
              <w:t>im Laufe d</w:t>
            </w:r>
            <w:r w:rsidR="007E516D">
              <w:rPr>
                <w:rFonts w:ascii="Arial" w:hAnsi="Arial" w:eastAsia="Arial" w:cs="Arial"/>
                <w:sz w:val="22"/>
                <w:szCs w:val="22"/>
                <w:bdr w:val="nil"/>
                <w:lang w:val="de-DE"/>
              </w:rPr>
              <w:t>ies</w:t>
            </w:r>
            <w:r>
              <w:rPr>
                <w:rFonts w:ascii="Arial" w:hAnsi="Arial" w:eastAsia="Arial" w:cs="Arial"/>
                <w:sz w:val="22"/>
                <w:szCs w:val="22"/>
                <w:bdr w:val="nil"/>
                <w:lang w:val="de-DE"/>
              </w:rPr>
              <w:t xml:space="preserve">er Zeit entwickelt </w:t>
            </w:r>
            <w:r w:rsidR="007E516D">
              <w:rPr>
                <w:rFonts w:ascii="Arial" w:hAnsi="Arial" w:eastAsia="Arial" w:cs="Arial"/>
                <w:sz w:val="22"/>
                <w:szCs w:val="22"/>
                <w:bdr w:val="nil"/>
                <w:lang w:val="de-DE"/>
              </w:rPr>
              <w:t>haben.</w:t>
            </w:r>
            <w:r>
              <w:rPr>
                <w:rFonts w:ascii="Arial" w:hAnsi="Arial" w:eastAsia="Arial" w:cs="Arial"/>
                <w:sz w:val="22"/>
                <w:szCs w:val="22"/>
                <w:bdr w:val="nil"/>
                <w:lang w:val="de-DE"/>
              </w:rPr>
              <w:t xml:space="preserve"> Der Begriff „nationale Fachorgane", der im Originaltext benutzt wurde, wird nun durch den </w:t>
            </w:r>
            <w:r w:rsidR="007E516D">
              <w:rPr>
                <w:rFonts w:ascii="Arial" w:hAnsi="Arial" w:eastAsia="Arial" w:cs="Arial"/>
                <w:sz w:val="22"/>
                <w:szCs w:val="22"/>
                <w:bdr w:val="nil"/>
                <w:lang w:val="de-DE"/>
              </w:rPr>
              <w:t xml:space="preserve">Begriff „Gleichheitsstellen“ </w:t>
            </w:r>
            <w:r>
              <w:rPr>
                <w:rFonts w:ascii="Arial" w:hAnsi="Arial" w:eastAsia="Arial" w:cs="Arial"/>
                <w:sz w:val="22"/>
                <w:szCs w:val="22"/>
                <w:bdr w:val="nil"/>
                <w:lang w:val="de-DE"/>
              </w:rPr>
              <w:t xml:space="preserve">ersetzt, der </w:t>
            </w:r>
            <w:r w:rsidR="00EB5612">
              <w:rPr>
                <w:rFonts w:ascii="Arial" w:hAnsi="Arial" w:eastAsia="Arial" w:cs="Arial"/>
                <w:sz w:val="22"/>
                <w:szCs w:val="22"/>
                <w:bdr w:val="nil"/>
                <w:lang w:val="de-DE"/>
              </w:rPr>
              <w:t>inzwischen</w:t>
            </w:r>
            <w:r>
              <w:rPr>
                <w:rFonts w:ascii="Arial" w:hAnsi="Arial" w:eastAsia="Arial" w:cs="Arial"/>
                <w:sz w:val="22"/>
                <w:szCs w:val="22"/>
                <w:bdr w:val="nil"/>
                <w:lang w:val="de-DE"/>
              </w:rPr>
              <w:t xml:space="preserve"> allgemein für </w:t>
            </w:r>
            <w:r w:rsidR="007E516D">
              <w:rPr>
                <w:rFonts w:ascii="Arial" w:hAnsi="Arial" w:eastAsia="Arial" w:cs="Arial"/>
                <w:sz w:val="22"/>
                <w:szCs w:val="22"/>
                <w:bdr w:val="nil"/>
                <w:lang w:val="de-DE"/>
              </w:rPr>
              <w:t>solche</w:t>
            </w:r>
            <w:r>
              <w:rPr>
                <w:rFonts w:ascii="Arial" w:hAnsi="Arial" w:eastAsia="Arial" w:cs="Arial"/>
                <w:sz w:val="22"/>
                <w:szCs w:val="22"/>
                <w:bdr w:val="nil"/>
                <w:lang w:val="de-DE"/>
              </w:rPr>
              <w:t xml:space="preserve"> Stellen verwendet wird.</w:t>
            </w:r>
          </w:p>
        </w:tc>
      </w:tr>
      <w:tr w:rsidRPr="00C0685F" w:rsidR="00D8651C" w:rsidTr="00C0685F" w14:paraId="1E5B663C" w14:textId="77777777">
        <w:trPr>
          <w:gridAfter w:val="1"/>
          <w:wAfter w:w="649" w:type="dxa"/>
        </w:trPr>
        <w:tc>
          <w:tcPr>
            <w:tcW w:w="0" w:type="auto"/>
          </w:tcPr>
          <w:p w:rsidRPr="006C29B1" w:rsidR="005A58FF" w:rsidP="004B73F0" w:rsidRDefault="0078680C" w14:paraId="4E6071AE" w14:textId="307F2A55">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Neben der Originalfassung </w:t>
            </w:r>
            <w:r w:rsidR="00717C12">
              <w:rPr>
                <w:rFonts w:ascii="Arial" w:hAnsi="Arial" w:eastAsia="Arial" w:cs="Arial"/>
                <w:sz w:val="22"/>
                <w:szCs w:val="22"/>
                <w:bdr w:val="nil"/>
                <w:lang w:val="de-DE"/>
              </w:rPr>
              <w:t>der APE</w:t>
            </w:r>
            <w:r>
              <w:rPr>
                <w:rFonts w:ascii="Arial" w:hAnsi="Arial" w:eastAsia="Arial" w:cs="Arial"/>
                <w:sz w:val="22"/>
                <w:szCs w:val="22"/>
                <w:bdr w:val="nil"/>
                <w:lang w:val="de-DE"/>
              </w:rPr>
              <w:t xml:space="preserve"> Nr. 2 aus dem Jahr 1997 </w:t>
            </w:r>
            <w:r w:rsidR="007E516D">
              <w:rPr>
                <w:rFonts w:ascii="Arial" w:hAnsi="Arial" w:eastAsia="Arial" w:cs="Arial"/>
                <w:sz w:val="22"/>
                <w:szCs w:val="22"/>
                <w:bdr w:val="nil"/>
                <w:lang w:val="de-DE"/>
              </w:rPr>
              <w:t xml:space="preserve">waren </w:t>
            </w:r>
            <w:r>
              <w:rPr>
                <w:rFonts w:ascii="Arial" w:hAnsi="Arial" w:eastAsia="Arial" w:cs="Arial"/>
                <w:sz w:val="22"/>
                <w:szCs w:val="22"/>
                <w:bdr w:val="nil"/>
                <w:lang w:val="de-DE"/>
              </w:rPr>
              <w:t xml:space="preserve">die </w:t>
            </w:r>
            <w:r w:rsidR="007E516D">
              <w:rPr>
                <w:rFonts w:ascii="Arial" w:hAnsi="Arial" w:eastAsia="Arial" w:cs="Arial"/>
                <w:sz w:val="22"/>
                <w:szCs w:val="22"/>
                <w:bdr w:val="nil"/>
                <w:lang w:val="de-DE"/>
              </w:rPr>
              <w:t>Gleichbehandlungs</w:t>
            </w:r>
            <w:r>
              <w:rPr>
                <w:rFonts w:ascii="Arial" w:hAnsi="Arial" w:eastAsia="Arial" w:cs="Arial"/>
                <w:sz w:val="22"/>
                <w:szCs w:val="22"/>
                <w:bdr w:val="nil"/>
                <w:lang w:val="de-DE"/>
              </w:rPr>
              <w:t>richtlinie</w:t>
            </w:r>
            <w:r w:rsidR="007E516D">
              <w:rPr>
                <w:rFonts w:ascii="Arial" w:hAnsi="Arial" w:eastAsia="Arial" w:cs="Arial"/>
                <w:sz w:val="22"/>
                <w:szCs w:val="22"/>
                <w:bdr w:val="nil"/>
                <w:lang w:val="de-DE"/>
              </w:rPr>
              <w:t>n</w:t>
            </w:r>
            <w:r>
              <w:rPr>
                <w:rFonts w:ascii="Arial" w:hAnsi="Arial" w:eastAsia="Arial" w:cs="Arial"/>
                <w:sz w:val="22"/>
                <w:szCs w:val="22"/>
                <w:bdr w:val="nil"/>
                <w:lang w:val="de-DE"/>
              </w:rPr>
              <w:t xml:space="preserve"> der EU (Artikel 13 der Richtlinie 2000/43/EG</w:t>
            </w:r>
            <w:r w:rsidR="007E516D">
              <w:rPr>
                <w:rFonts w:ascii="Arial" w:hAnsi="Arial" w:eastAsia="Arial" w:cs="Arial"/>
                <w:sz w:val="22"/>
                <w:szCs w:val="22"/>
                <w:bdr w:val="nil"/>
                <w:lang w:val="de-DE"/>
              </w:rPr>
              <w:t xml:space="preserve"> zur</w:t>
            </w:r>
            <w:r>
              <w:rPr>
                <w:rFonts w:ascii="Arial" w:hAnsi="Arial" w:eastAsia="Arial" w:cs="Arial"/>
                <w:sz w:val="22"/>
                <w:szCs w:val="22"/>
                <w:bdr w:val="nil"/>
                <w:lang w:val="de-DE"/>
              </w:rPr>
              <w:t xml:space="preserve"> Anwendung des Gleichbehandlungsgrundsatzes ohne Unterschied der Rasse oder der ethnischen Herkunft</w:t>
            </w:r>
            <w:r w:rsidR="00EB5612">
              <w:rPr>
                <w:rFonts w:ascii="Arial" w:hAnsi="Arial" w:eastAsia="Arial" w:cs="Arial"/>
                <w:sz w:val="22"/>
                <w:szCs w:val="22"/>
                <w:bdr w:val="nil"/>
                <w:lang w:val="de-DE"/>
              </w:rPr>
              <w:t xml:space="preserve"> und</w:t>
            </w:r>
            <w:r>
              <w:rPr>
                <w:rFonts w:ascii="Arial" w:hAnsi="Arial" w:eastAsia="Arial" w:cs="Arial"/>
                <w:sz w:val="22"/>
                <w:szCs w:val="22"/>
                <w:bdr w:val="nil"/>
                <w:lang w:val="de-DE"/>
              </w:rPr>
              <w:t xml:space="preserve"> Artikel 12 der Richtlinie 2004/113/EG, Artikel 20 der Richtlinie 2006/54/EG und Artikel 11 der Richtlinie 2010/41/EU, die sich mit de</w:t>
            </w:r>
            <w:r w:rsidR="007E516D">
              <w:rPr>
                <w:rFonts w:ascii="Arial" w:hAnsi="Arial" w:eastAsia="Arial" w:cs="Arial"/>
                <w:sz w:val="22"/>
                <w:szCs w:val="22"/>
                <w:bdr w:val="nil"/>
                <w:lang w:val="de-DE"/>
              </w:rPr>
              <w:t>r</w:t>
            </w:r>
            <w:r>
              <w:rPr>
                <w:rFonts w:ascii="Arial" w:hAnsi="Arial" w:eastAsia="Arial" w:cs="Arial"/>
                <w:sz w:val="22"/>
                <w:szCs w:val="22"/>
                <w:bdr w:val="nil"/>
                <w:lang w:val="de-DE"/>
              </w:rPr>
              <w:t xml:space="preserve"> Diskriminierung</w:t>
            </w:r>
            <w:r w:rsidR="007E516D">
              <w:rPr>
                <w:rFonts w:ascii="Arial" w:hAnsi="Arial" w:eastAsia="Arial" w:cs="Arial"/>
                <w:sz w:val="22"/>
                <w:szCs w:val="22"/>
                <w:bdr w:val="nil"/>
                <w:lang w:val="de-DE"/>
              </w:rPr>
              <w:t xml:space="preserve"> aus Gründen des</w:t>
            </w:r>
            <w:r>
              <w:rPr>
                <w:rFonts w:ascii="Arial" w:hAnsi="Arial" w:eastAsia="Arial" w:cs="Arial"/>
                <w:sz w:val="22"/>
                <w:szCs w:val="22"/>
                <w:bdr w:val="nil"/>
                <w:lang w:val="de-DE"/>
              </w:rPr>
              <w:t xml:space="preserve"> Geschlecht</w:t>
            </w:r>
            <w:r w:rsidR="007E516D">
              <w:rPr>
                <w:rFonts w:ascii="Arial" w:hAnsi="Arial" w:eastAsia="Arial" w:cs="Arial"/>
                <w:sz w:val="22"/>
                <w:szCs w:val="22"/>
                <w:bdr w:val="nil"/>
                <w:lang w:val="de-DE"/>
              </w:rPr>
              <w:t>s</w:t>
            </w:r>
            <w:r>
              <w:rPr>
                <w:rFonts w:ascii="Arial" w:hAnsi="Arial" w:eastAsia="Arial" w:cs="Arial"/>
                <w:sz w:val="22"/>
                <w:szCs w:val="22"/>
                <w:bdr w:val="nil"/>
                <w:lang w:val="de-DE"/>
              </w:rPr>
              <w:t xml:space="preserve"> befassen) </w:t>
            </w:r>
            <w:r w:rsidR="007E516D">
              <w:rPr>
                <w:rFonts w:ascii="Arial" w:hAnsi="Arial" w:eastAsia="Arial" w:cs="Arial"/>
                <w:sz w:val="22"/>
                <w:szCs w:val="22"/>
                <w:bdr w:val="nil"/>
                <w:lang w:val="de-DE"/>
              </w:rPr>
              <w:t xml:space="preserve">eine treibende Kraft für </w:t>
            </w:r>
            <w:r>
              <w:rPr>
                <w:rFonts w:ascii="Arial" w:hAnsi="Arial" w:eastAsia="Arial" w:cs="Arial"/>
                <w:sz w:val="22"/>
                <w:szCs w:val="22"/>
                <w:bdr w:val="nil"/>
                <w:lang w:val="de-DE"/>
              </w:rPr>
              <w:t xml:space="preserve">die Entwicklung </w:t>
            </w:r>
            <w:r w:rsidR="007E516D">
              <w:rPr>
                <w:rFonts w:ascii="Arial" w:hAnsi="Arial" w:eastAsia="Arial" w:cs="Arial"/>
                <w:sz w:val="22"/>
                <w:szCs w:val="22"/>
                <w:bdr w:val="nil"/>
                <w:lang w:val="de-DE"/>
              </w:rPr>
              <w:t>von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Mit der </w:t>
            </w:r>
            <w:r w:rsidR="007E516D">
              <w:rPr>
                <w:rFonts w:ascii="Arial" w:hAnsi="Arial" w:eastAsia="Arial" w:cs="Arial"/>
                <w:sz w:val="22"/>
                <w:szCs w:val="22"/>
                <w:bdr w:val="nil"/>
                <w:lang w:val="de-DE"/>
              </w:rPr>
              <w:t xml:space="preserve">Verabschiedung </w:t>
            </w:r>
            <w:r>
              <w:rPr>
                <w:rFonts w:ascii="Arial" w:hAnsi="Arial" w:eastAsia="Arial" w:cs="Arial"/>
                <w:sz w:val="22"/>
                <w:szCs w:val="22"/>
                <w:bdr w:val="nil"/>
                <w:lang w:val="de-DE"/>
              </w:rPr>
              <w:t xml:space="preserve">dieser Richtlinien haben die EU-Mitgliedstaaten die Verpflichtung akzeptiert,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einzurichten. </w:t>
            </w:r>
          </w:p>
          <w:p w:rsidRPr="006C29B1" w:rsidR="00DD016F" w:rsidP="004B73F0" w:rsidRDefault="0078680C" w14:paraId="64F60E81" w14:textId="7777777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Nahezu alle Mitgliedstaaten des Europarats haben darüber hinaus das Übereinkommen der Vereinten Nationen über die Rechte von Menschen mit Behinderungen (CRPD) ratifiziert, dessen Artikel 33.2 eine ähnliche Verpflichtung vorsieht. </w:t>
            </w:r>
          </w:p>
          <w:p w:rsidRPr="00C0685F" w:rsidR="00DD016F" w:rsidP="004B73F0" w:rsidRDefault="0078680C" w14:paraId="4E975317" w14:textId="03D6AABC">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Die Durban-Abschlusserklärung und das Aktionsprogramm 2001 der UN-Weltkonferenz gegen Rassismus und der Menschenrechtskommissar des Europarats (Stellungnahme CommDH (2011)2) haben ebenfalls die </w:t>
            </w:r>
            <w:r w:rsidR="00717C12">
              <w:rPr>
                <w:rFonts w:ascii="Arial" w:hAnsi="Arial" w:eastAsia="Arial" w:cs="Arial"/>
                <w:sz w:val="22"/>
                <w:szCs w:val="22"/>
                <w:bdr w:val="nil"/>
                <w:lang w:val="de-DE"/>
              </w:rPr>
              <w:t>Errichtung</w:t>
            </w:r>
            <w:r>
              <w:rPr>
                <w:rFonts w:ascii="Arial" w:hAnsi="Arial" w:eastAsia="Arial" w:cs="Arial"/>
                <w:sz w:val="22"/>
                <w:szCs w:val="22"/>
                <w:bdr w:val="nil"/>
                <w:lang w:val="de-DE"/>
              </w:rPr>
              <w:t xml:space="preserve"> und Stärkung </w:t>
            </w:r>
            <w:r w:rsidR="007E516D">
              <w:rPr>
                <w:rFonts w:ascii="Arial" w:hAnsi="Arial" w:eastAsia="Arial" w:cs="Arial"/>
                <w:sz w:val="22"/>
                <w:szCs w:val="22"/>
                <w:bdr w:val="nil"/>
                <w:lang w:val="de-DE"/>
              </w:rPr>
              <w:t xml:space="preserve">solcher </w:t>
            </w:r>
            <w:r>
              <w:rPr>
                <w:rFonts w:ascii="Arial" w:hAnsi="Arial" w:eastAsia="Arial" w:cs="Arial"/>
                <w:sz w:val="22"/>
                <w:szCs w:val="22"/>
                <w:bdr w:val="nil"/>
                <w:lang w:val="de-DE"/>
              </w:rPr>
              <w:t xml:space="preserve">Institutionen gefordert. Die Pariser </w:t>
            </w:r>
            <w:r w:rsidR="00717C12">
              <w:rPr>
                <w:rFonts w:ascii="Arial" w:hAnsi="Arial" w:eastAsia="Arial" w:cs="Arial"/>
                <w:sz w:val="22"/>
                <w:szCs w:val="22"/>
                <w:bdr w:val="nil"/>
                <w:lang w:val="de-DE"/>
              </w:rPr>
              <w:t xml:space="preserve">Prinzipien </w:t>
            </w:r>
            <w:r>
              <w:rPr>
                <w:rFonts w:ascii="Arial" w:hAnsi="Arial" w:eastAsia="Arial" w:cs="Arial"/>
                <w:sz w:val="22"/>
                <w:szCs w:val="22"/>
                <w:bdr w:val="nil"/>
                <w:lang w:val="de-DE"/>
              </w:rPr>
              <w:t xml:space="preserve">für nationale Institutionen zur Förderung und zum Schutz der Menschenrechte, </w:t>
            </w:r>
            <w:r w:rsidR="00717C12">
              <w:rPr>
                <w:rFonts w:ascii="Arial" w:hAnsi="Arial" w:eastAsia="Arial" w:cs="Arial"/>
                <w:sz w:val="22"/>
                <w:szCs w:val="22"/>
                <w:bdr w:val="nil"/>
                <w:lang w:val="de-DE"/>
              </w:rPr>
              <w:t xml:space="preserve">die </w:t>
            </w:r>
            <w:r>
              <w:rPr>
                <w:rFonts w:ascii="Arial" w:hAnsi="Arial" w:eastAsia="Arial" w:cs="Arial"/>
                <w:sz w:val="22"/>
                <w:szCs w:val="22"/>
                <w:bdr w:val="nil"/>
                <w:lang w:val="de-DE"/>
              </w:rPr>
              <w:t xml:space="preserve">am 20. Dezember 1993 von der Generalversammlung der Vereinten Nationen </w:t>
            </w:r>
            <w:r w:rsidR="00717C12">
              <w:rPr>
                <w:rFonts w:ascii="Arial" w:hAnsi="Arial" w:eastAsia="Arial" w:cs="Arial"/>
                <w:sz w:val="22"/>
                <w:szCs w:val="22"/>
                <w:bdr w:val="nil"/>
                <w:lang w:val="de-DE"/>
              </w:rPr>
              <w:t>verabschiedet wurden</w:t>
            </w:r>
            <w:r>
              <w:rPr>
                <w:rFonts w:ascii="Arial" w:hAnsi="Arial" w:eastAsia="Arial" w:cs="Arial"/>
                <w:sz w:val="22"/>
                <w:szCs w:val="22"/>
                <w:bdr w:val="nil"/>
                <w:lang w:val="de-DE"/>
              </w:rPr>
              <w:t xml:space="preserve">, sowie die Allgemeinen Bemerkungen zu deren Auslegung und Umsetzung </w:t>
            </w:r>
            <w:r w:rsidR="00EB5612">
              <w:rPr>
                <w:rFonts w:ascii="Arial" w:hAnsi="Arial" w:eastAsia="Arial" w:cs="Arial"/>
                <w:sz w:val="22"/>
                <w:szCs w:val="22"/>
                <w:bdr w:val="nil"/>
                <w:lang w:val="de-DE"/>
              </w:rPr>
              <w:t>haben als</w:t>
            </w:r>
            <w:r>
              <w:rPr>
                <w:rFonts w:ascii="Arial" w:hAnsi="Arial" w:eastAsia="Arial" w:cs="Arial"/>
                <w:sz w:val="22"/>
                <w:szCs w:val="22"/>
                <w:bdr w:val="nil"/>
                <w:lang w:val="de-DE"/>
              </w:rPr>
              <w:t xml:space="preserve"> wichtige</w:t>
            </w:r>
            <w:r w:rsidR="00EB5612">
              <w:rPr>
                <w:rFonts w:ascii="Arial" w:hAnsi="Arial" w:eastAsia="Arial" w:cs="Arial"/>
                <w:sz w:val="22"/>
                <w:szCs w:val="22"/>
                <w:bdr w:val="nil"/>
                <w:lang w:val="de-DE"/>
              </w:rPr>
              <w:t>r</w:t>
            </w:r>
            <w:r>
              <w:rPr>
                <w:rFonts w:ascii="Arial" w:hAnsi="Arial" w:eastAsia="Arial" w:cs="Arial"/>
                <w:sz w:val="22"/>
                <w:szCs w:val="22"/>
                <w:bdr w:val="nil"/>
                <w:lang w:val="de-DE"/>
              </w:rPr>
              <w:t xml:space="preserve"> Leitfaden für die Gründung </w:t>
            </w:r>
            <w:r w:rsidR="00EB5612">
              <w:rPr>
                <w:rFonts w:ascii="Arial" w:hAnsi="Arial" w:eastAsia="Arial" w:cs="Arial"/>
                <w:sz w:val="22"/>
                <w:szCs w:val="22"/>
                <w:bdr w:val="nil"/>
                <w:lang w:val="de-DE"/>
              </w:rPr>
              <w:t>von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EB5612">
              <w:rPr>
                <w:rFonts w:ascii="Arial" w:hAnsi="Arial" w:eastAsia="Arial" w:cs="Arial"/>
                <w:sz w:val="22"/>
                <w:szCs w:val="22"/>
                <w:bdr w:val="nil"/>
                <w:lang w:val="de-DE"/>
              </w:rPr>
              <w:t>gedient</w:t>
            </w:r>
            <w:r>
              <w:rPr>
                <w:rFonts w:ascii="Arial" w:hAnsi="Arial" w:eastAsia="Arial" w:cs="Arial"/>
                <w:sz w:val="22"/>
                <w:szCs w:val="22"/>
                <w:bdr w:val="nil"/>
                <w:lang w:val="de-DE"/>
              </w:rPr>
              <w:t xml:space="preserve">. Der UN-Ausschuss für die Beseitigung der Rassendiskriminierung hat </w:t>
            </w:r>
            <w:r w:rsidRPr="00EB5612" w:rsidR="00EB5612">
              <w:rPr>
                <w:rFonts w:ascii="Arial" w:hAnsi="Arial" w:eastAsia="Arial" w:cs="Arial"/>
                <w:sz w:val="22"/>
                <w:szCs w:val="22"/>
                <w:bdr w:val="nil"/>
                <w:lang w:val="de-DE"/>
              </w:rPr>
              <w:t xml:space="preserve">in diesem Bereich </w:t>
            </w:r>
            <w:r>
              <w:rPr>
                <w:rFonts w:ascii="Arial" w:hAnsi="Arial" w:eastAsia="Arial" w:cs="Arial"/>
                <w:sz w:val="22"/>
                <w:szCs w:val="22"/>
                <w:bdr w:val="nil"/>
                <w:lang w:val="de-DE"/>
              </w:rPr>
              <w:t xml:space="preserve">ebenfalls wesentliche Arbeit geleistet. </w:t>
            </w:r>
          </w:p>
        </w:tc>
      </w:tr>
      <w:tr w:rsidRPr="00046FAE" w:rsidR="00D8651C" w:rsidTr="00C0685F" w14:paraId="16665A0D" w14:textId="77777777">
        <w:trPr>
          <w:gridAfter w:val="1"/>
          <w:wAfter w:w="649" w:type="dxa"/>
        </w:trPr>
        <w:tc>
          <w:tcPr>
            <w:tcW w:w="0" w:type="auto"/>
          </w:tcPr>
          <w:p w:rsidRPr="006C29B1" w:rsidR="00DD016F" w:rsidP="004B73F0" w:rsidRDefault="0078680C" w14:paraId="336DCD36" w14:textId="320AEBC3">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Empfehlungen in dieser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bauen auf diese Texte auf und haben zum Ziel, die Bemühungen der Mitgliedstaaten </w:t>
            </w:r>
            <w:r w:rsidR="00EB5612">
              <w:rPr>
                <w:rFonts w:ascii="Arial" w:hAnsi="Arial" w:eastAsia="Arial" w:cs="Arial"/>
                <w:sz w:val="22"/>
                <w:szCs w:val="22"/>
                <w:bdr w:val="nil"/>
                <w:lang w:val="de-DE"/>
              </w:rPr>
              <w:t>und</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w:t>
            </w:r>
            <w:r w:rsidR="00EB5612">
              <w:rPr>
                <w:rFonts w:ascii="Arial" w:hAnsi="Arial" w:eastAsia="Arial" w:cs="Arial"/>
                <w:sz w:val="22"/>
                <w:szCs w:val="22"/>
                <w:bdr w:val="nil"/>
                <w:lang w:val="de-DE"/>
              </w:rPr>
              <w:t xml:space="preserve"> zu unterstützen</w:t>
            </w:r>
            <w:r>
              <w:rPr>
                <w:rFonts w:ascii="Arial" w:hAnsi="Arial" w:eastAsia="Arial" w:cs="Arial"/>
                <w:sz w:val="22"/>
                <w:szCs w:val="22"/>
                <w:bdr w:val="nil"/>
                <w:lang w:val="de-DE"/>
              </w:rPr>
              <w:t xml:space="preserve">, Gleichheit und soziale Kohäsion zu erreichen. Sie dürfen auf keine Weise benutzt werden, um bestehende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oder bestehende Garantien für deren Unabhängigkeit und </w:t>
            </w:r>
            <w:r w:rsidR="00C31827">
              <w:rPr>
                <w:rFonts w:ascii="Arial" w:hAnsi="Arial" w:eastAsia="Arial" w:cs="Arial"/>
                <w:sz w:val="22"/>
                <w:szCs w:val="22"/>
                <w:bdr w:val="nil"/>
                <w:lang w:val="de-DE"/>
              </w:rPr>
              <w:t>Effektivität</w:t>
            </w:r>
            <w:r>
              <w:rPr>
                <w:rFonts w:ascii="Arial" w:hAnsi="Arial" w:eastAsia="Arial" w:cs="Arial"/>
                <w:sz w:val="22"/>
                <w:szCs w:val="22"/>
                <w:bdr w:val="nil"/>
                <w:lang w:val="de-DE"/>
              </w:rPr>
              <w:t xml:space="preserve"> zu begrenzen oder zu schwächen. </w:t>
            </w:r>
          </w:p>
        </w:tc>
      </w:tr>
      <w:tr w:rsidR="00D8651C" w:rsidTr="00C0685F" w14:paraId="68E4EDAE" w14:textId="77777777">
        <w:trPr>
          <w:gridAfter w:val="1"/>
          <w:wAfter w:w="649" w:type="dxa"/>
          <w:trHeight w:val="529"/>
        </w:trPr>
        <w:tc>
          <w:tcPr>
            <w:tcW w:w="0" w:type="auto"/>
          </w:tcPr>
          <w:p w:rsidRPr="006353CB" w:rsidR="00DD016F" w:rsidP="004B73F0" w:rsidRDefault="0078680C" w14:paraId="6F99587F" w14:textId="64D9ECA7">
            <w:pPr>
              <w:pStyle w:val="berschrift11"/>
              <w:numPr>
                <w:ilvl w:val="0"/>
                <w:numId w:val="30"/>
              </w:numPr>
              <w:spacing w:before="100" w:beforeAutospacing="1" w:after="100" w:afterAutospacing="1" w:line="240" w:lineRule="exact"/>
              <w:ind w:left="743"/>
              <w:rPr>
                <w:rFonts w:ascii="Arial" w:hAnsi="Arial" w:cs="Arial"/>
                <w:szCs w:val="22"/>
              </w:rPr>
            </w:pPr>
            <w:r>
              <w:rPr>
                <w:rFonts w:ascii="Arial" w:hAnsi="Arial" w:eastAsia="Arial" w:cs="Arial"/>
                <w:bCs/>
                <w:szCs w:val="22"/>
                <w:bdr w:val="nil"/>
                <w:lang w:val="de-DE"/>
              </w:rPr>
              <w:t>E</w:t>
            </w:r>
            <w:r w:rsidR="00717C12">
              <w:rPr>
                <w:rFonts w:ascii="Arial" w:hAnsi="Arial" w:eastAsia="Arial" w:cs="Arial"/>
                <w:bCs/>
                <w:szCs w:val="22"/>
                <w:bdr w:val="nil"/>
                <w:lang w:val="de-DE"/>
              </w:rPr>
              <w:t>rrichtung</w:t>
            </w:r>
            <w:r>
              <w:rPr>
                <w:rFonts w:ascii="Arial" w:hAnsi="Arial" w:eastAsia="Arial" w:cs="Arial"/>
                <w:bCs/>
                <w:szCs w:val="22"/>
                <w:bdr w:val="nil"/>
                <w:lang w:val="de-DE"/>
              </w:rPr>
              <w:t xml:space="preserve"> von </w:t>
            </w:r>
            <w:r w:rsidR="00781974">
              <w:rPr>
                <w:rFonts w:ascii="Arial" w:hAnsi="Arial" w:eastAsia="Arial" w:cs="Arial"/>
                <w:bCs/>
                <w:szCs w:val="22"/>
                <w:bdr w:val="nil"/>
                <w:lang w:val="de-DE"/>
              </w:rPr>
              <w:t>Gleichheitsstelle</w:t>
            </w:r>
            <w:r>
              <w:rPr>
                <w:rFonts w:ascii="Arial" w:hAnsi="Arial" w:eastAsia="Arial" w:cs="Arial"/>
                <w:bCs/>
                <w:szCs w:val="22"/>
                <w:bdr w:val="nil"/>
                <w:lang w:val="de-DE"/>
              </w:rPr>
              <w:t>n</w:t>
            </w:r>
          </w:p>
        </w:tc>
      </w:tr>
      <w:tr w:rsidRPr="00C0685F" w:rsidR="00D8651C" w:rsidTr="00C0685F" w14:paraId="438DC9FC" w14:textId="77777777">
        <w:trPr>
          <w:gridAfter w:val="1"/>
          <w:wAfter w:w="649" w:type="dxa"/>
        </w:trPr>
        <w:tc>
          <w:tcPr>
            <w:tcW w:w="0" w:type="auto"/>
          </w:tcPr>
          <w:p w:rsidRPr="006353CB" w:rsidR="00DD016F" w:rsidP="004B73F0" w:rsidRDefault="00786C47" w14:paraId="317F1BA1" w14:textId="740D25B0">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_Ref486587144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4B73F0" w:rsidRDefault="0078680C" w14:paraId="7453CD25" w14:textId="1B056D0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Mitgliedstaaten sollten eine starke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einrichten. Einige Mitgliedstaaten haben mehr als eine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eingerichtet, um die verschiedenen Diskriminierungsgründe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_Ref486586338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4</w:t>
            </w:r>
            <w:r w:rsidRPr="006353CB">
              <w:rPr>
                <w:rFonts w:ascii="Arial" w:hAnsi="Arial" w:cs="Arial"/>
                <w:sz w:val="22"/>
                <w:szCs w:val="22"/>
                <w:lang w:val="en-GB"/>
              </w:rPr>
              <w:fldChar w:fldCharType="end"/>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_Ref486586364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b</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w:t>
            </w:r>
            <w:r w:rsidR="00FE358E">
              <w:rPr>
                <w:rFonts w:ascii="Arial" w:hAnsi="Arial" w:eastAsia="Arial" w:cs="Arial"/>
                <w:sz w:val="22"/>
                <w:szCs w:val="22"/>
                <w:bdr w:val="nil"/>
                <w:lang w:val="de-DE"/>
              </w:rPr>
              <w:t>,</w:t>
            </w:r>
            <w:r>
              <w:rPr>
                <w:rFonts w:ascii="Arial" w:hAnsi="Arial" w:eastAsia="Arial" w:cs="Arial"/>
                <w:sz w:val="22"/>
                <w:szCs w:val="22"/>
                <w:bdr w:val="nil"/>
                <w:lang w:val="de-DE"/>
              </w:rPr>
              <w:t xml:space="preserve"> alle Bereiche des </w:t>
            </w:r>
            <w:r>
              <w:rPr>
                <w:rFonts w:ascii="Arial" w:hAnsi="Arial" w:eastAsia="Arial" w:cs="Arial"/>
                <w:sz w:val="22"/>
                <w:szCs w:val="22"/>
                <w:bdr w:val="nil"/>
                <w:lang w:val="de-DE"/>
              </w:rPr>
              <w:lastRenderedPageBreak/>
              <w:t>öffentlichen und privaten Sektors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_Ref486586338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4</w:t>
            </w:r>
            <w:r w:rsidRPr="006353CB">
              <w:rPr>
                <w:rFonts w:ascii="Arial" w:hAnsi="Arial" w:cs="Arial"/>
                <w:sz w:val="22"/>
                <w:szCs w:val="22"/>
                <w:lang w:val="en-GB"/>
              </w:rPr>
              <w:fldChar w:fldCharType="end"/>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_Ref486586343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c</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das gesamte Territorium des Mitgliedstaates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_Ref486586338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4</w:t>
            </w:r>
            <w:r w:rsidRPr="006353CB">
              <w:rPr>
                <w:rFonts w:ascii="Arial" w:hAnsi="Arial" w:cs="Arial"/>
                <w:sz w:val="22"/>
                <w:szCs w:val="22"/>
                <w:lang w:val="en-GB"/>
              </w:rPr>
              <w:fldChar w:fldCharType="end"/>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_Ref486586377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d</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und die verschiedenen Funktionen abzudecken, die in dieser </w:t>
            </w:r>
            <w:r w:rsidR="00717C12">
              <w:rPr>
                <w:rFonts w:ascii="Arial" w:hAnsi="Arial" w:eastAsia="Arial" w:cs="Arial"/>
                <w:sz w:val="22"/>
                <w:szCs w:val="22"/>
                <w:bdr w:val="nil"/>
                <w:lang w:val="de-DE"/>
              </w:rPr>
              <w:t>APE</w:t>
            </w:r>
            <w:r w:rsidR="00017082">
              <w:rPr>
                <w:rFonts w:ascii="Arial" w:hAnsi="Arial" w:eastAsia="Arial" w:cs="Arial"/>
                <w:sz w:val="22"/>
                <w:szCs w:val="22"/>
                <w:bdr w:val="nil"/>
                <w:lang w:val="de-DE"/>
              </w:rPr>
              <w:t xml:space="preserve"> aufgeführt sind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_Ref486586451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10</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w:t>
            </w:r>
          </w:p>
          <w:p w:rsidRPr="00C0685F" w:rsidR="00DD016F" w:rsidP="004B73F0" w:rsidRDefault="0078680C" w14:paraId="4DF20697" w14:textId="0854261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Allerdings birgt das E</w:t>
            </w:r>
            <w:r w:rsidR="00717C12">
              <w:rPr>
                <w:rFonts w:ascii="Arial" w:hAnsi="Arial" w:eastAsia="Arial" w:cs="Arial"/>
                <w:sz w:val="22"/>
                <w:szCs w:val="22"/>
                <w:bdr w:val="nil"/>
                <w:lang w:val="de-DE"/>
              </w:rPr>
              <w:t>rrichten</w:t>
            </w:r>
            <w:r>
              <w:rPr>
                <w:rFonts w:ascii="Arial" w:hAnsi="Arial" w:eastAsia="Arial" w:cs="Arial"/>
                <w:sz w:val="22"/>
                <w:szCs w:val="22"/>
                <w:bdr w:val="nil"/>
                <w:lang w:val="de-DE"/>
              </w:rPr>
              <w:t xml:space="preserve"> eines </w:t>
            </w:r>
            <w:r w:rsidR="00717C12">
              <w:rPr>
                <w:rFonts w:ascii="Arial" w:hAnsi="Arial" w:eastAsia="Arial" w:cs="Arial"/>
                <w:sz w:val="22"/>
                <w:szCs w:val="22"/>
                <w:bdr w:val="nil"/>
                <w:lang w:val="de-DE"/>
              </w:rPr>
              <w:t xml:space="preserve">zu komplexen </w:t>
            </w:r>
            <w:r>
              <w:rPr>
                <w:rFonts w:ascii="Arial" w:hAnsi="Arial" w:eastAsia="Arial" w:cs="Arial"/>
                <w:sz w:val="22"/>
                <w:szCs w:val="22"/>
                <w:bdr w:val="nil"/>
                <w:lang w:val="de-DE"/>
              </w:rPr>
              <w:t xml:space="preserve">Systems aus zu vielen Stellen mehrere Risiken: begrenzte personelle und finanzielle Ressourcen können </w:t>
            </w:r>
            <w:r w:rsidR="00EB5612">
              <w:rPr>
                <w:rFonts w:ascii="Arial" w:hAnsi="Arial" w:eastAsia="Arial" w:cs="Arial"/>
                <w:sz w:val="22"/>
                <w:szCs w:val="22"/>
                <w:bdr w:val="nil"/>
                <w:lang w:val="de-DE"/>
              </w:rPr>
              <w:t xml:space="preserve">aufgesplittert </w:t>
            </w:r>
            <w:r>
              <w:rPr>
                <w:rFonts w:ascii="Arial" w:hAnsi="Arial" w:eastAsia="Arial" w:cs="Arial"/>
                <w:sz w:val="22"/>
                <w:szCs w:val="22"/>
                <w:bdr w:val="nil"/>
                <w:lang w:val="de-DE"/>
              </w:rPr>
              <w:t>werden, die Sichtbarkeit der Stellen k</w:t>
            </w:r>
            <w:r w:rsidR="00EB5612">
              <w:rPr>
                <w:rFonts w:ascii="Arial" w:hAnsi="Arial" w:eastAsia="Arial" w:cs="Arial"/>
                <w:sz w:val="22"/>
                <w:szCs w:val="22"/>
                <w:bdr w:val="nil"/>
                <w:lang w:val="de-DE"/>
              </w:rPr>
              <w:t>a</w:t>
            </w:r>
            <w:r>
              <w:rPr>
                <w:rFonts w:ascii="Arial" w:hAnsi="Arial" w:eastAsia="Arial" w:cs="Arial"/>
                <w:sz w:val="22"/>
                <w:szCs w:val="22"/>
                <w:bdr w:val="nil"/>
                <w:lang w:val="de-DE"/>
              </w:rPr>
              <w:t xml:space="preserve">nn leiden, Menschen </w:t>
            </w:r>
            <w:r w:rsidR="00EB5612">
              <w:rPr>
                <w:rFonts w:ascii="Arial" w:hAnsi="Arial" w:eastAsia="Arial" w:cs="Arial"/>
                <w:sz w:val="22"/>
                <w:szCs w:val="22"/>
                <w:bdr w:val="nil"/>
                <w:lang w:val="de-DE"/>
              </w:rPr>
              <w:t>wissen nicht mehr</w:t>
            </w:r>
            <w:r>
              <w:rPr>
                <w:rFonts w:ascii="Arial" w:hAnsi="Arial" w:eastAsia="Arial" w:cs="Arial"/>
                <w:sz w:val="22"/>
                <w:szCs w:val="22"/>
                <w:bdr w:val="nil"/>
                <w:lang w:val="de-DE"/>
              </w:rPr>
              <w:t xml:space="preserve">, an welche Stelle sie sich wenden sollen, und wertvolle Ressourcen können </w:t>
            </w:r>
            <w:r w:rsidR="00EB5612">
              <w:rPr>
                <w:rFonts w:ascii="Arial" w:hAnsi="Arial" w:eastAsia="Arial" w:cs="Arial"/>
                <w:sz w:val="22"/>
                <w:szCs w:val="22"/>
                <w:bdr w:val="nil"/>
                <w:lang w:val="de-DE"/>
              </w:rPr>
              <w:t>durch</w:t>
            </w:r>
            <w:r>
              <w:rPr>
                <w:rFonts w:ascii="Arial" w:hAnsi="Arial" w:eastAsia="Arial" w:cs="Arial"/>
                <w:sz w:val="22"/>
                <w:szCs w:val="22"/>
                <w:bdr w:val="nil"/>
                <w:lang w:val="de-DE"/>
              </w:rPr>
              <w:t xml:space="preserve"> die Koordinierung </w:t>
            </w:r>
            <w:r w:rsidR="00A764AA">
              <w:rPr>
                <w:rFonts w:ascii="Arial" w:hAnsi="Arial" w:eastAsia="Arial" w:cs="Arial"/>
                <w:sz w:val="22"/>
                <w:szCs w:val="22"/>
                <w:bdr w:val="nil"/>
                <w:lang w:val="de-DE"/>
              </w:rPr>
              <w:t xml:space="preserve">zwischen </w:t>
            </w:r>
            <w:r>
              <w:rPr>
                <w:rFonts w:ascii="Arial" w:hAnsi="Arial" w:eastAsia="Arial" w:cs="Arial"/>
                <w:sz w:val="22"/>
                <w:szCs w:val="22"/>
                <w:bdr w:val="nil"/>
                <w:lang w:val="de-DE"/>
              </w:rPr>
              <w:t>diese</w:t>
            </w:r>
            <w:r w:rsidR="00A764AA">
              <w:rPr>
                <w:rFonts w:ascii="Arial" w:hAnsi="Arial" w:eastAsia="Arial" w:cs="Arial"/>
                <w:sz w:val="22"/>
                <w:szCs w:val="22"/>
                <w:bdr w:val="nil"/>
                <w:lang w:val="de-DE"/>
              </w:rPr>
              <w:t>n</w:t>
            </w:r>
            <w:r>
              <w:rPr>
                <w:rFonts w:ascii="Arial" w:hAnsi="Arial" w:eastAsia="Arial" w:cs="Arial"/>
                <w:sz w:val="22"/>
                <w:szCs w:val="22"/>
                <w:bdr w:val="nil"/>
                <w:lang w:val="de-DE"/>
              </w:rPr>
              <w:t xml:space="preserve"> Stellen gebunden werden, anstatt für die </w:t>
            </w:r>
            <w:r w:rsidR="00A764AA">
              <w:rPr>
                <w:rFonts w:ascii="Arial" w:hAnsi="Arial" w:eastAsia="Arial" w:cs="Arial"/>
                <w:sz w:val="22"/>
                <w:szCs w:val="22"/>
                <w:bdr w:val="nil"/>
                <w:lang w:val="de-DE"/>
              </w:rPr>
              <w:t>Arbeit an der Substanz ihre</w:t>
            </w:r>
            <w:r w:rsidR="00EB5612">
              <w:rPr>
                <w:rFonts w:ascii="Arial" w:hAnsi="Arial" w:eastAsia="Arial" w:cs="Arial"/>
                <w:sz w:val="22"/>
                <w:szCs w:val="22"/>
                <w:bdr w:val="nil"/>
                <w:lang w:val="de-DE"/>
              </w:rPr>
              <w:t>r</w:t>
            </w:r>
            <w:r w:rsidR="00A764AA">
              <w:rPr>
                <w:rFonts w:ascii="Arial" w:hAnsi="Arial" w:eastAsia="Arial" w:cs="Arial"/>
                <w:sz w:val="22"/>
                <w:szCs w:val="22"/>
                <w:bdr w:val="nil"/>
                <w:lang w:val="de-DE"/>
              </w:rPr>
              <w:t xml:space="preserve"> Mandat</w:t>
            </w:r>
            <w:r w:rsidR="00EB5612">
              <w:rPr>
                <w:rFonts w:ascii="Arial" w:hAnsi="Arial" w:eastAsia="Arial" w:cs="Arial"/>
                <w:sz w:val="22"/>
                <w:szCs w:val="22"/>
                <w:bdr w:val="nil"/>
                <w:lang w:val="de-DE"/>
              </w:rPr>
              <w:t>e</w:t>
            </w:r>
            <w:r w:rsidR="00A764AA">
              <w:rPr>
                <w:rFonts w:ascii="Arial" w:hAnsi="Arial" w:eastAsia="Arial" w:cs="Arial"/>
                <w:sz w:val="22"/>
                <w:szCs w:val="22"/>
                <w:bdr w:val="nil"/>
                <w:lang w:val="de-DE"/>
              </w:rPr>
              <w:t xml:space="preserve"> zur Verfügung zu stehen</w:t>
            </w:r>
            <w:r>
              <w:rPr>
                <w:rFonts w:ascii="Arial" w:hAnsi="Arial" w:eastAsia="Arial" w:cs="Arial"/>
                <w:sz w:val="22"/>
                <w:szCs w:val="22"/>
                <w:bdr w:val="nil"/>
                <w:lang w:val="de-DE"/>
              </w:rPr>
              <w:t xml:space="preserve">. Wo mehr als eine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eingerichtet wurde und sich dies als effektiv erwiesen hat, sollten die Behörden Kohärenz und eine enge </w:t>
            </w:r>
            <w:r w:rsidR="00A764AA">
              <w:rPr>
                <w:rFonts w:ascii="Arial" w:hAnsi="Arial" w:eastAsia="Arial" w:cs="Arial"/>
                <w:sz w:val="22"/>
                <w:szCs w:val="22"/>
                <w:bdr w:val="nil"/>
                <w:lang w:val="de-DE"/>
              </w:rPr>
              <w:t xml:space="preserve">Zusammenarbeit zwischen </w:t>
            </w:r>
            <w:r>
              <w:rPr>
                <w:rFonts w:ascii="Arial" w:hAnsi="Arial" w:eastAsia="Arial" w:cs="Arial"/>
                <w:sz w:val="22"/>
                <w:szCs w:val="22"/>
                <w:bdr w:val="nil"/>
                <w:lang w:val="de-DE"/>
              </w:rPr>
              <w:t>diese</w:t>
            </w:r>
            <w:r w:rsidR="00A764AA">
              <w:rPr>
                <w:rFonts w:ascii="Arial" w:hAnsi="Arial" w:eastAsia="Arial" w:cs="Arial"/>
                <w:sz w:val="22"/>
                <w:szCs w:val="22"/>
                <w:bdr w:val="nil"/>
                <w:lang w:val="de-DE"/>
              </w:rPr>
              <w:t>n</w:t>
            </w:r>
            <w:r>
              <w:rPr>
                <w:rFonts w:ascii="Arial" w:hAnsi="Arial" w:eastAsia="Arial" w:cs="Arial"/>
                <w:sz w:val="22"/>
                <w:szCs w:val="22"/>
                <w:bdr w:val="nil"/>
                <w:lang w:val="de-DE"/>
              </w:rPr>
              <w:t xml:space="preserve"> Stellen gewährleisten. </w:t>
            </w:r>
          </w:p>
          <w:p w:rsidRPr="006C29B1" w:rsidR="00DD016F" w:rsidP="004B73F0" w:rsidRDefault="0078680C" w14:paraId="58F3BC53" w14:textId="0EA17C4B">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w:t>
            </w:r>
            <w:r w:rsidR="00A764AA">
              <w:rPr>
                <w:rFonts w:ascii="Arial" w:hAnsi="Arial" w:eastAsia="Arial" w:cs="Arial"/>
                <w:sz w:val="22"/>
                <w:szCs w:val="22"/>
                <w:bdr w:val="nil"/>
                <w:lang w:val="de-DE"/>
              </w:rPr>
              <w:t xml:space="preserve">Errichtung </w:t>
            </w:r>
            <w:r>
              <w:rPr>
                <w:rFonts w:ascii="Arial" w:hAnsi="Arial" w:eastAsia="Arial" w:cs="Arial"/>
                <w:sz w:val="22"/>
                <w:szCs w:val="22"/>
                <w:bdr w:val="nil"/>
                <w:lang w:val="de-DE"/>
              </w:rPr>
              <w:t xml:space="preserve">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auf Grundlage verfassungsrechtlicher Bestimmungen sorgt für starke und zusätzliche Garantien, da die Abschaffung oder wesentliche Schwächung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dadurch </w:t>
            </w:r>
            <w:r w:rsidR="00A764AA">
              <w:rPr>
                <w:rFonts w:ascii="Arial" w:hAnsi="Arial" w:eastAsia="Arial" w:cs="Arial"/>
                <w:sz w:val="22"/>
                <w:szCs w:val="22"/>
                <w:bdr w:val="nil"/>
                <w:lang w:val="de-DE"/>
              </w:rPr>
              <w:t xml:space="preserve">erschwert </w:t>
            </w:r>
            <w:r>
              <w:rPr>
                <w:rFonts w:ascii="Arial" w:hAnsi="Arial" w:eastAsia="Arial" w:cs="Arial"/>
                <w:sz w:val="22"/>
                <w:szCs w:val="22"/>
                <w:bdr w:val="nil"/>
                <w:lang w:val="de-DE"/>
              </w:rPr>
              <w:t>w</w:t>
            </w:r>
            <w:r w:rsidR="00A764AA">
              <w:rPr>
                <w:rFonts w:ascii="Arial" w:hAnsi="Arial" w:eastAsia="Arial" w:cs="Arial"/>
                <w:sz w:val="22"/>
                <w:szCs w:val="22"/>
                <w:bdr w:val="nil"/>
                <w:lang w:val="de-DE"/>
              </w:rPr>
              <w:t>ird.</w:t>
            </w:r>
            <w:r>
              <w:rPr>
                <w:rFonts w:ascii="Arial" w:hAnsi="Arial" w:eastAsia="Arial" w:cs="Arial"/>
                <w:sz w:val="22"/>
                <w:szCs w:val="22"/>
                <w:bdr w:val="nil"/>
                <w:lang w:val="de-DE"/>
              </w:rPr>
              <w:t xml:space="preserve"> ECRI </w:t>
            </w:r>
            <w:r w:rsidR="00A764AA">
              <w:rPr>
                <w:rFonts w:ascii="Arial" w:hAnsi="Arial" w:eastAsia="Arial" w:cs="Arial"/>
                <w:sz w:val="22"/>
                <w:szCs w:val="22"/>
                <w:bdr w:val="nil"/>
                <w:lang w:val="de-DE"/>
              </w:rPr>
              <w:t>hält es daher für vorzugswürdig,</w:t>
            </w:r>
            <w:r>
              <w:rPr>
                <w:rFonts w:ascii="Arial" w:hAnsi="Arial" w:eastAsia="Arial" w:cs="Arial"/>
                <w:sz w:val="22"/>
                <w:szCs w:val="22"/>
                <w:bdr w:val="nil"/>
                <w:lang w:val="de-DE"/>
              </w:rPr>
              <w:t xml:space="preserve"> eine verfassungsrechtliche Bestimmung</w:t>
            </w:r>
            <w:r w:rsidR="00A764AA">
              <w:rPr>
                <w:rFonts w:ascii="Arial" w:hAnsi="Arial" w:eastAsia="Arial" w:cs="Arial"/>
                <w:sz w:val="22"/>
                <w:szCs w:val="22"/>
                <w:bdr w:val="nil"/>
                <w:lang w:val="de-DE"/>
              </w:rPr>
              <w:t xml:space="preserve"> zu verwenden</w:t>
            </w:r>
            <w:r>
              <w:rPr>
                <w:rFonts w:ascii="Arial" w:hAnsi="Arial" w:eastAsia="Arial" w:cs="Arial"/>
                <w:sz w:val="22"/>
                <w:szCs w:val="22"/>
                <w:bdr w:val="nil"/>
                <w:lang w:val="de-DE"/>
              </w:rPr>
              <w:t xml:space="preserve">. Details über den organisatorischen Aufbau der Stelle können in einem separaten Gesetz </w:t>
            </w:r>
            <w:r w:rsidR="00EB5612">
              <w:rPr>
                <w:rFonts w:ascii="Arial" w:hAnsi="Arial" w:eastAsia="Arial" w:cs="Arial"/>
                <w:sz w:val="22"/>
                <w:szCs w:val="22"/>
                <w:bdr w:val="nil"/>
                <w:lang w:val="de-DE"/>
              </w:rPr>
              <w:t>niederg</w:t>
            </w:r>
            <w:r>
              <w:rPr>
                <w:rFonts w:ascii="Arial" w:hAnsi="Arial" w:eastAsia="Arial" w:cs="Arial"/>
                <w:sz w:val="22"/>
                <w:szCs w:val="22"/>
                <w:bdr w:val="nil"/>
                <w:lang w:val="de-DE"/>
              </w:rPr>
              <w:t xml:space="preserve">elegt werden. Wenn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nicht </w:t>
            </w:r>
            <w:r w:rsidR="00A764AA">
              <w:rPr>
                <w:rFonts w:ascii="Arial" w:hAnsi="Arial" w:eastAsia="Arial" w:cs="Arial"/>
                <w:sz w:val="22"/>
                <w:szCs w:val="22"/>
                <w:bdr w:val="nil"/>
                <w:lang w:val="de-DE"/>
              </w:rPr>
              <w:t>durch eine</w:t>
            </w:r>
            <w:r>
              <w:rPr>
                <w:rFonts w:ascii="Arial" w:hAnsi="Arial" w:eastAsia="Arial" w:cs="Arial"/>
                <w:sz w:val="22"/>
                <w:szCs w:val="22"/>
                <w:bdr w:val="nil"/>
                <w:lang w:val="de-DE"/>
              </w:rPr>
              <w:t xml:space="preserve"> verfassungsrechtliche Bestimmung e</w:t>
            </w:r>
            <w:r w:rsidR="00A764AA">
              <w:rPr>
                <w:rFonts w:ascii="Arial" w:hAnsi="Arial" w:eastAsia="Arial" w:cs="Arial"/>
                <w:sz w:val="22"/>
                <w:szCs w:val="22"/>
                <w:bdr w:val="nil"/>
                <w:lang w:val="de-DE"/>
              </w:rPr>
              <w:t>rr</w:t>
            </w:r>
            <w:r>
              <w:rPr>
                <w:rFonts w:ascii="Arial" w:hAnsi="Arial" w:eastAsia="Arial" w:cs="Arial"/>
                <w:sz w:val="22"/>
                <w:szCs w:val="22"/>
                <w:bdr w:val="nil"/>
                <w:lang w:val="de-DE"/>
              </w:rPr>
              <w:t>ichtet werden, sollten die Mitgliedstaaten ein Organgesetz oder ein allgemeines Gesetz</w:t>
            </w:r>
            <w:r w:rsidR="00A764AA">
              <w:rPr>
                <w:rFonts w:ascii="Arial" w:hAnsi="Arial" w:eastAsia="Arial" w:cs="Arial"/>
                <w:sz w:val="22"/>
                <w:szCs w:val="22"/>
                <w:bdr w:val="nil"/>
                <w:lang w:val="de-DE"/>
              </w:rPr>
              <w:t xml:space="preserve"> verwenden</w:t>
            </w:r>
            <w:r>
              <w:rPr>
                <w:rFonts w:ascii="Arial" w:hAnsi="Arial" w:eastAsia="Arial" w:cs="Arial"/>
                <w:sz w:val="22"/>
                <w:szCs w:val="22"/>
                <w:bdr w:val="nil"/>
                <w:lang w:val="de-DE"/>
              </w:rPr>
              <w:t xml:space="preserve">, das vom Parlament verabschiedet wird. </w:t>
            </w:r>
          </w:p>
          <w:p w:rsidRPr="006C29B1" w:rsidR="00DD016F" w:rsidP="004B73F0" w:rsidRDefault="0078680C" w14:paraId="198CA475" w14:textId="3B40851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D</w:t>
            </w:r>
            <w:r w:rsidR="00A764AA">
              <w:rPr>
                <w:rFonts w:ascii="Arial" w:hAnsi="Arial" w:eastAsia="Arial" w:cs="Arial"/>
                <w:sz w:val="22"/>
                <w:szCs w:val="22"/>
                <w:bdr w:val="nil"/>
                <w:lang w:val="de-DE"/>
              </w:rPr>
              <w:t>as Vorhandensein einer</w:t>
            </w:r>
            <w:r>
              <w:rPr>
                <w:rFonts w:ascii="Arial" w:hAnsi="Arial" w:eastAsia="Arial" w:cs="Arial"/>
                <w:sz w:val="22"/>
                <w:szCs w:val="22"/>
                <w:bdr w:val="nil"/>
                <w:lang w:val="de-DE"/>
              </w:rPr>
              <w:t xml:space="preserve"> umfassende</w:t>
            </w:r>
            <w:r w:rsidR="00A764AA">
              <w:rPr>
                <w:rFonts w:ascii="Arial" w:hAnsi="Arial" w:eastAsia="Arial" w:cs="Arial"/>
                <w:sz w:val="22"/>
                <w:szCs w:val="22"/>
                <w:bdr w:val="nil"/>
                <w:lang w:val="de-DE"/>
              </w:rPr>
              <w:t>n</w:t>
            </w:r>
            <w:r>
              <w:rPr>
                <w:rFonts w:ascii="Arial" w:hAnsi="Arial" w:eastAsia="Arial" w:cs="Arial"/>
                <w:sz w:val="22"/>
                <w:szCs w:val="22"/>
                <w:bdr w:val="nil"/>
                <w:lang w:val="de-DE"/>
              </w:rPr>
              <w:t xml:space="preserve"> und eindeutige</w:t>
            </w:r>
            <w:r w:rsidR="00A764AA">
              <w:rPr>
                <w:rFonts w:ascii="Arial" w:hAnsi="Arial" w:eastAsia="Arial" w:cs="Arial"/>
                <w:sz w:val="22"/>
                <w:szCs w:val="22"/>
                <w:bdr w:val="nil"/>
                <w:lang w:val="de-DE"/>
              </w:rPr>
              <w:t>n</w:t>
            </w:r>
            <w:r>
              <w:rPr>
                <w:rFonts w:ascii="Arial" w:hAnsi="Arial" w:eastAsia="Arial" w:cs="Arial"/>
                <w:sz w:val="22"/>
                <w:szCs w:val="22"/>
                <w:bdr w:val="nil"/>
                <w:lang w:val="de-DE"/>
              </w:rPr>
              <w:t xml:space="preserve"> Antidiskriminierungs</w:t>
            </w:r>
            <w:r w:rsidR="00EB5612">
              <w:rPr>
                <w:rFonts w:ascii="Arial" w:hAnsi="Arial" w:eastAsia="Arial" w:cs="Arial"/>
                <w:sz w:val="22"/>
                <w:szCs w:val="22"/>
                <w:bdr w:val="nil"/>
                <w:lang w:val="de-DE"/>
              </w:rPr>
              <w:softHyphen/>
            </w:r>
            <w:r>
              <w:rPr>
                <w:rFonts w:ascii="Arial" w:hAnsi="Arial" w:eastAsia="Arial" w:cs="Arial"/>
                <w:sz w:val="22"/>
                <w:szCs w:val="22"/>
                <w:bdr w:val="nil"/>
                <w:lang w:val="de-DE"/>
              </w:rPr>
              <w:t>gesetz</w:t>
            </w:r>
            <w:r w:rsidR="00A764AA">
              <w:rPr>
                <w:rFonts w:ascii="Arial" w:hAnsi="Arial" w:eastAsia="Arial" w:cs="Arial"/>
                <w:sz w:val="22"/>
                <w:szCs w:val="22"/>
                <w:bdr w:val="nil"/>
                <w:lang w:val="de-DE"/>
              </w:rPr>
              <w:t>g</w:t>
            </w:r>
            <w:r>
              <w:rPr>
                <w:rFonts w:ascii="Arial" w:hAnsi="Arial" w:eastAsia="Arial" w:cs="Arial"/>
                <w:sz w:val="22"/>
                <w:szCs w:val="22"/>
                <w:bdr w:val="nil"/>
                <w:lang w:val="de-DE"/>
              </w:rPr>
              <w:t>e</w:t>
            </w:r>
            <w:r w:rsidR="00A764AA">
              <w:rPr>
                <w:rFonts w:ascii="Arial" w:hAnsi="Arial" w:eastAsia="Arial" w:cs="Arial"/>
                <w:sz w:val="22"/>
                <w:szCs w:val="22"/>
                <w:bdr w:val="nil"/>
                <w:lang w:val="de-DE"/>
              </w:rPr>
              <w:t>bung</w:t>
            </w:r>
            <w:r>
              <w:rPr>
                <w:rFonts w:ascii="Arial" w:hAnsi="Arial" w:eastAsia="Arial" w:cs="Arial"/>
                <w:sz w:val="22"/>
                <w:szCs w:val="22"/>
                <w:bdr w:val="nil"/>
                <w:lang w:val="de-DE"/>
              </w:rPr>
              <w:t xml:space="preserve"> ist eine weitere unverzichtbare Grundlage für d</w:t>
            </w:r>
            <w:r w:rsidR="00EB5612">
              <w:rPr>
                <w:rFonts w:ascii="Arial" w:hAnsi="Arial" w:eastAsia="Arial" w:cs="Arial"/>
                <w:sz w:val="22"/>
                <w:szCs w:val="22"/>
                <w:bdr w:val="nil"/>
                <w:lang w:val="de-DE"/>
              </w:rPr>
              <w:t>as</w:t>
            </w:r>
            <w:r>
              <w:rPr>
                <w:rFonts w:ascii="Arial" w:hAnsi="Arial" w:eastAsia="Arial" w:cs="Arial"/>
                <w:sz w:val="22"/>
                <w:szCs w:val="22"/>
                <w:bdr w:val="nil"/>
                <w:lang w:val="de-DE"/>
              </w:rPr>
              <w:t xml:space="preserve"> Funktion</w:t>
            </w:r>
            <w:r w:rsidR="00A764AA">
              <w:rPr>
                <w:rFonts w:ascii="Arial" w:hAnsi="Arial" w:eastAsia="Arial" w:cs="Arial"/>
                <w:sz w:val="22"/>
                <w:szCs w:val="22"/>
                <w:bdr w:val="nil"/>
                <w:lang w:val="de-DE"/>
              </w:rPr>
              <w:t>ieren</w:t>
            </w:r>
            <w:r>
              <w:rPr>
                <w:rFonts w:ascii="Arial" w:hAnsi="Arial" w:eastAsia="Arial" w:cs="Arial"/>
                <w:sz w:val="22"/>
                <w:szCs w:val="22"/>
                <w:bdr w:val="nil"/>
                <w:lang w:val="de-DE"/>
              </w:rPr>
              <w:t xml:space="preserve"> und d</w:t>
            </w:r>
            <w:r w:rsidR="00A764AA">
              <w:rPr>
                <w:rFonts w:ascii="Arial" w:hAnsi="Arial" w:eastAsia="Arial" w:cs="Arial"/>
                <w:sz w:val="22"/>
                <w:szCs w:val="22"/>
                <w:bdr w:val="nil"/>
                <w:lang w:val="de-DE"/>
              </w:rPr>
              <w:t xml:space="preserve">ie </w:t>
            </w:r>
            <w:r w:rsidR="00C31827">
              <w:rPr>
                <w:rFonts w:ascii="Arial" w:hAnsi="Arial" w:eastAsia="Arial" w:cs="Arial"/>
                <w:sz w:val="22"/>
                <w:szCs w:val="22"/>
                <w:bdr w:val="nil"/>
                <w:lang w:val="de-DE"/>
              </w:rPr>
              <w:t>Effektivität</w:t>
            </w:r>
            <w:r>
              <w:rPr>
                <w:rFonts w:ascii="Arial" w:hAnsi="Arial" w:eastAsia="Arial" w:cs="Arial"/>
                <w:sz w:val="22"/>
                <w:szCs w:val="22"/>
                <w:bdr w:val="nil"/>
                <w:lang w:val="de-DE"/>
              </w:rPr>
              <w:t xml:space="preserve">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EB5612">
              <w:rPr>
                <w:rFonts w:ascii="Arial" w:hAnsi="Arial" w:eastAsia="Arial" w:cs="Arial"/>
                <w:sz w:val="22"/>
                <w:szCs w:val="22"/>
                <w:bdr w:val="nil"/>
                <w:lang w:val="de-DE"/>
              </w:rPr>
              <w:t xml:space="preserve">Standards </w:t>
            </w:r>
            <w:r w:rsidR="00717C12">
              <w:rPr>
                <w:rFonts w:ascii="Arial" w:hAnsi="Arial" w:eastAsia="Arial" w:cs="Arial"/>
                <w:sz w:val="22"/>
                <w:szCs w:val="22"/>
                <w:bdr w:val="nil"/>
                <w:lang w:val="de-DE"/>
              </w:rPr>
              <w:t>für diese Gesetzgebung sind in ECRI’s APE</w:t>
            </w:r>
            <w:r>
              <w:rPr>
                <w:rFonts w:ascii="Arial" w:hAnsi="Arial" w:eastAsia="Arial" w:cs="Arial"/>
                <w:sz w:val="22"/>
                <w:szCs w:val="22"/>
                <w:bdr w:val="nil"/>
                <w:lang w:val="de-DE"/>
              </w:rPr>
              <w:t xml:space="preserve"> Nr. 7 </w:t>
            </w:r>
            <w:r w:rsidRPr="00717C12" w:rsidR="00717C12">
              <w:rPr>
                <w:rFonts w:ascii="Arial" w:hAnsi="Arial" w:eastAsia="Arial" w:cs="Arial"/>
                <w:sz w:val="22"/>
                <w:szCs w:val="22"/>
                <w:bdr w:val="nil"/>
                <w:lang w:val="de-DE"/>
              </w:rPr>
              <w:t xml:space="preserve">über die </w:t>
            </w:r>
            <w:r w:rsidR="00717C12">
              <w:rPr>
                <w:rFonts w:ascii="Arial" w:hAnsi="Arial" w:eastAsia="Arial" w:cs="Arial"/>
                <w:sz w:val="22"/>
                <w:szCs w:val="22"/>
                <w:bdr w:val="nil"/>
                <w:lang w:val="de-DE"/>
              </w:rPr>
              <w:t>nationale</w:t>
            </w:r>
            <w:r w:rsidRPr="00717C12" w:rsidR="00717C12">
              <w:rPr>
                <w:rFonts w:ascii="Arial" w:hAnsi="Arial" w:eastAsia="Arial" w:cs="Arial"/>
                <w:sz w:val="22"/>
                <w:szCs w:val="22"/>
                <w:bdr w:val="nil"/>
                <w:lang w:val="de-DE"/>
              </w:rPr>
              <w:t xml:space="preserve"> Gesetzgebung zur Bekämpfung von Rassismus und Rassendiskriminierung</w:t>
            </w:r>
            <w:r w:rsidRPr="00717C12" w:rsidDel="00717C12" w:rsidR="00717C12">
              <w:rPr>
                <w:rFonts w:ascii="Arial" w:hAnsi="Arial" w:eastAsia="Arial" w:cs="Arial"/>
                <w:sz w:val="22"/>
                <w:szCs w:val="22"/>
                <w:bdr w:val="nil"/>
                <w:lang w:val="de-DE"/>
              </w:rPr>
              <w:t xml:space="preserve"> </w:t>
            </w:r>
            <w:r w:rsidR="00A764AA">
              <w:rPr>
                <w:rFonts w:ascii="Arial" w:hAnsi="Arial" w:eastAsia="Arial" w:cs="Arial"/>
                <w:sz w:val="22"/>
                <w:szCs w:val="22"/>
                <w:bdr w:val="nil"/>
                <w:lang w:val="de-DE"/>
              </w:rPr>
              <w:t>nieder</w:t>
            </w:r>
            <w:r w:rsidR="00717C12">
              <w:rPr>
                <w:rFonts w:ascii="Arial" w:hAnsi="Arial" w:eastAsia="Arial" w:cs="Arial"/>
                <w:sz w:val="22"/>
                <w:szCs w:val="22"/>
                <w:bdr w:val="nil"/>
                <w:lang w:val="de-DE"/>
              </w:rPr>
              <w:t>gelegt</w:t>
            </w:r>
            <w:r>
              <w:rPr>
                <w:rFonts w:ascii="Arial" w:hAnsi="Arial" w:eastAsia="Arial" w:cs="Arial"/>
                <w:sz w:val="22"/>
                <w:szCs w:val="22"/>
                <w:bdr w:val="nil"/>
                <w:lang w:val="de-DE"/>
              </w:rPr>
              <w:t xml:space="preserve">. </w:t>
            </w:r>
          </w:p>
        </w:tc>
      </w:tr>
      <w:tr w:rsidRPr="00046FAE" w:rsidR="00D8651C" w:rsidTr="00C0685F" w14:paraId="27F18975" w14:textId="77777777">
        <w:trPr>
          <w:gridAfter w:val="1"/>
          <w:wAfter w:w="649" w:type="dxa"/>
        </w:trPr>
        <w:tc>
          <w:tcPr>
            <w:tcW w:w="0" w:type="auto"/>
          </w:tcPr>
          <w:p w:rsidRPr="006353CB" w:rsidR="00DD016F" w:rsidP="004B73F0" w:rsidRDefault="00786C47" w14:paraId="318AAC34" w14:textId="15C3A8A4">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lastRenderedPageBreak/>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_Ref486586899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4B73F0" w:rsidRDefault="00781974" w14:paraId="2FFD10B2" w14:textId="21FFB54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bookmarkStart w:name="_Ref474231064" w:id="44"/>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müssen unabhängig sein, insbesondere von der Regierung, damit sie Fragen der Gleichheit, Diskriminierung und Intoleranz </w:t>
            </w:r>
            <w:r w:rsidR="00952CCE">
              <w:rPr>
                <w:rFonts w:ascii="Arial" w:hAnsi="Arial" w:eastAsia="Arial" w:cs="Arial"/>
                <w:sz w:val="22"/>
                <w:szCs w:val="22"/>
                <w:bdr w:val="nil"/>
                <w:lang w:val="de-DE"/>
              </w:rPr>
              <w:t>in der von ihnen für angemessen gehaltenen Art und Weise bearbeiten können, ohne der</w:t>
            </w:r>
            <w:r w:rsidR="0078680C">
              <w:rPr>
                <w:rFonts w:ascii="Arial" w:hAnsi="Arial" w:eastAsia="Arial" w:cs="Arial"/>
                <w:sz w:val="22"/>
                <w:szCs w:val="22"/>
                <w:bdr w:val="nil"/>
                <w:lang w:val="de-DE"/>
              </w:rPr>
              <w:t xml:space="preserve"> Einflussnahme </w:t>
            </w:r>
            <w:r w:rsidR="00952CCE">
              <w:rPr>
                <w:rFonts w:ascii="Arial" w:hAnsi="Arial" w:eastAsia="Arial" w:cs="Arial"/>
                <w:sz w:val="22"/>
                <w:szCs w:val="22"/>
                <w:bdr w:val="nil"/>
                <w:lang w:val="de-DE"/>
              </w:rPr>
              <w:t>von anderen</w:t>
            </w:r>
            <w:r w:rsidR="00A764AA">
              <w:rPr>
                <w:rFonts w:ascii="Arial" w:hAnsi="Arial" w:eastAsia="Arial" w:cs="Arial"/>
                <w:sz w:val="22"/>
                <w:szCs w:val="22"/>
                <w:bdr w:val="nil"/>
                <w:lang w:val="de-DE"/>
              </w:rPr>
              <w:t xml:space="preserve"> Stellen </w:t>
            </w:r>
            <w:r w:rsidR="00952CCE">
              <w:rPr>
                <w:rFonts w:ascii="Arial" w:hAnsi="Arial" w:eastAsia="Arial" w:cs="Arial"/>
                <w:sz w:val="22"/>
                <w:szCs w:val="22"/>
                <w:bdr w:val="nil"/>
                <w:lang w:val="de-DE"/>
              </w:rPr>
              <w:t>ausgesetzt zu sein</w:t>
            </w:r>
            <w:r w:rsidR="00A764AA">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Dies bietet ihnen auch die erforderliche Freiheit, neue Wege zur Förderung und Erreichung der Gleichheit zu suchen und zu verfolgen. Dementsprechend ist Unabhängigkeit eine Voraussetzung für die </w:t>
            </w:r>
            <w:r w:rsidR="00952CCE">
              <w:rPr>
                <w:rFonts w:ascii="Arial" w:hAnsi="Arial" w:eastAsia="Arial" w:cs="Arial"/>
                <w:sz w:val="22"/>
                <w:szCs w:val="22"/>
                <w:bdr w:val="nil"/>
                <w:lang w:val="de-DE"/>
              </w:rPr>
              <w:t>Wirksamkeit</w:t>
            </w:r>
            <w:r w:rsidR="0078680C">
              <w:rPr>
                <w:rFonts w:ascii="Arial" w:hAnsi="Arial" w:eastAsia="Arial" w:cs="Arial"/>
                <w:sz w:val="22"/>
                <w:szCs w:val="22"/>
                <w:bdr w:val="nil"/>
                <w:lang w:val="de-DE"/>
              </w:rPr>
              <w:t xml:space="preserve"> und den Einfluss von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Unabhängigkeit ist insbesondere dann wichtig, wenn sich die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mit (struktureller) Diskriminierung </w:t>
            </w:r>
            <w:r w:rsidR="00A764AA">
              <w:rPr>
                <w:rFonts w:ascii="Arial" w:hAnsi="Arial" w:eastAsia="Arial" w:cs="Arial"/>
                <w:sz w:val="22"/>
                <w:szCs w:val="22"/>
                <w:bdr w:val="nil"/>
                <w:lang w:val="de-DE"/>
              </w:rPr>
              <w:t xml:space="preserve">durch </w:t>
            </w:r>
            <w:r w:rsidR="0078680C">
              <w:rPr>
                <w:rFonts w:ascii="Arial" w:hAnsi="Arial" w:eastAsia="Arial" w:cs="Arial"/>
                <w:sz w:val="22"/>
                <w:szCs w:val="22"/>
                <w:bdr w:val="nil"/>
                <w:lang w:val="de-DE"/>
              </w:rPr>
              <w:t xml:space="preserve">Behörden befassen und wenn ihnen die </w:t>
            </w:r>
            <w:r w:rsidR="00C90BFE">
              <w:rPr>
                <w:rFonts w:ascii="Arial" w:hAnsi="Arial" w:eastAsia="Arial" w:cs="Arial"/>
                <w:sz w:val="22"/>
                <w:szCs w:val="22"/>
                <w:bdr w:val="nil"/>
                <w:lang w:val="de-DE"/>
              </w:rPr>
              <w:t>Funktion</w:t>
            </w:r>
            <w:r w:rsidR="0078680C">
              <w:rPr>
                <w:rFonts w:ascii="Arial" w:hAnsi="Arial" w:eastAsia="Arial" w:cs="Arial"/>
                <w:sz w:val="22"/>
                <w:szCs w:val="22"/>
                <w:bdr w:val="nil"/>
                <w:lang w:val="de-DE"/>
              </w:rPr>
              <w:t xml:space="preserve"> übertragen wurde, über Beschwerden </w:t>
            </w:r>
            <w:r w:rsidR="00A764AA">
              <w:rPr>
                <w:rFonts w:ascii="Arial" w:hAnsi="Arial" w:eastAsia="Arial" w:cs="Arial"/>
                <w:sz w:val="22"/>
                <w:szCs w:val="22"/>
                <w:bdr w:val="nil"/>
                <w:lang w:val="de-DE"/>
              </w:rPr>
              <w:t>zu entscheiden</w:t>
            </w:r>
            <w:r w:rsidR="0078680C">
              <w:rPr>
                <w:rFonts w:ascii="Arial" w:hAnsi="Arial" w:eastAsia="Arial" w:cs="Arial"/>
                <w:sz w:val="22"/>
                <w:szCs w:val="22"/>
                <w:bdr w:val="nil"/>
                <w:lang w:val="de-DE"/>
              </w:rPr>
              <w:t xml:space="preserv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_Ref486586451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10</w:t>
            </w:r>
            <w:r w:rsidRPr="006353CB" w:rsidR="0078680C">
              <w:rPr>
                <w:rFonts w:ascii="Arial" w:hAnsi="Arial" w:cs="Arial"/>
                <w:sz w:val="22"/>
                <w:szCs w:val="22"/>
                <w:lang w:val="en-GB"/>
              </w:rPr>
              <w:fldChar w:fldCharType="end"/>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_Ref486586476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c</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w:t>
            </w:r>
            <w:bookmarkEnd w:id="44"/>
          </w:p>
          <w:p w:rsidRPr="00C0685F" w:rsidR="00DD016F" w:rsidP="004B73F0" w:rsidRDefault="00781974" w14:paraId="1A765349" w14:textId="73EAF763">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sowohl </w:t>
            </w:r>
            <w:r w:rsidR="0078680C">
              <w:rPr>
                <w:rFonts w:ascii="Arial" w:hAnsi="Arial" w:eastAsia="Arial" w:cs="Arial"/>
                <w:i/>
                <w:iCs/>
                <w:sz w:val="22"/>
                <w:szCs w:val="22"/>
                <w:bdr w:val="nil"/>
                <w:lang w:val="de-DE"/>
              </w:rPr>
              <w:t>de jure</w:t>
            </w:r>
            <w:r w:rsidR="0078680C">
              <w:rPr>
                <w:rFonts w:ascii="Arial" w:hAnsi="Arial" w:eastAsia="Arial" w:cs="Arial"/>
                <w:sz w:val="22"/>
                <w:szCs w:val="22"/>
                <w:bdr w:val="nil"/>
                <w:lang w:val="de-DE"/>
              </w:rPr>
              <w:t xml:space="preserve"> als auch </w:t>
            </w:r>
            <w:r w:rsidR="0078680C">
              <w:rPr>
                <w:rFonts w:ascii="Arial" w:hAnsi="Arial" w:eastAsia="Arial" w:cs="Arial"/>
                <w:i/>
                <w:iCs/>
                <w:sz w:val="22"/>
                <w:szCs w:val="22"/>
                <w:bdr w:val="nil"/>
                <w:lang w:val="de-DE"/>
              </w:rPr>
              <w:t>de facto</w:t>
            </w:r>
            <w:r w:rsidR="0078680C">
              <w:rPr>
                <w:rFonts w:ascii="Arial" w:hAnsi="Arial" w:eastAsia="Arial" w:cs="Arial"/>
                <w:sz w:val="22"/>
                <w:szCs w:val="22"/>
                <w:bdr w:val="nil"/>
                <w:lang w:val="de-DE"/>
              </w:rPr>
              <w:t xml:space="preserve"> unabhängig sein. Die erforderlichen Absicherungen für </w:t>
            </w:r>
            <w:r w:rsidR="00A764AA">
              <w:rPr>
                <w:rFonts w:ascii="Arial" w:hAnsi="Arial" w:eastAsia="Arial" w:cs="Arial"/>
                <w:sz w:val="22"/>
                <w:szCs w:val="22"/>
                <w:bdr w:val="nil"/>
                <w:lang w:val="de-DE"/>
              </w:rPr>
              <w:t xml:space="preserve">die </w:t>
            </w:r>
            <w:r w:rsidR="0078680C">
              <w:rPr>
                <w:rFonts w:ascii="Arial" w:hAnsi="Arial" w:eastAsia="Arial" w:cs="Arial"/>
                <w:i/>
                <w:iCs/>
                <w:sz w:val="22"/>
                <w:szCs w:val="22"/>
                <w:bdr w:val="nil"/>
                <w:lang w:val="de-DE"/>
              </w:rPr>
              <w:t>de jure</w:t>
            </w:r>
            <w:r w:rsidR="0078680C">
              <w:rPr>
                <w:rFonts w:ascii="Arial" w:hAnsi="Arial" w:eastAsia="Arial" w:cs="Arial"/>
                <w:sz w:val="22"/>
                <w:szCs w:val="22"/>
                <w:bdr w:val="nil"/>
                <w:lang w:val="de-DE"/>
              </w:rPr>
              <w:t xml:space="preserve">-Unabhängigkeit sollten in den verfassungsrechtlichen und </w:t>
            </w:r>
            <w:r w:rsidR="00EB5612">
              <w:rPr>
                <w:rFonts w:ascii="Arial" w:hAnsi="Arial" w:eastAsia="Arial" w:cs="Arial"/>
                <w:sz w:val="22"/>
                <w:szCs w:val="22"/>
                <w:bdr w:val="nil"/>
                <w:lang w:val="de-DE"/>
              </w:rPr>
              <w:t>einfach</w:t>
            </w:r>
            <w:r w:rsidR="0078680C">
              <w:rPr>
                <w:rFonts w:ascii="Arial" w:hAnsi="Arial" w:eastAsia="Arial" w:cs="Arial"/>
                <w:sz w:val="22"/>
                <w:szCs w:val="22"/>
                <w:bdr w:val="nil"/>
                <w:lang w:val="de-DE"/>
              </w:rPr>
              <w:t xml:space="preserve">gesetzlichen Bestimmungen enthalten sein, durch die die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A764AA">
              <w:rPr>
                <w:rFonts w:ascii="Arial" w:hAnsi="Arial" w:eastAsia="Arial" w:cs="Arial"/>
                <w:sz w:val="22"/>
                <w:szCs w:val="22"/>
                <w:bdr w:val="nil"/>
                <w:lang w:val="de-DE"/>
              </w:rPr>
              <w:t xml:space="preserve">errichtet </w:t>
            </w:r>
            <w:r w:rsidR="0078680C">
              <w:rPr>
                <w:rFonts w:ascii="Arial" w:hAnsi="Arial" w:eastAsia="Arial" w:cs="Arial"/>
                <w:sz w:val="22"/>
                <w:szCs w:val="22"/>
                <w:bdr w:val="nil"/>
                <w:lang w:val="de-DE"/>
              </w:rPr>
              <w:t xml:space="preserve">wurde (siehe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_Ref486586501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Die Art und Weise, wie diese Elemente </w:t>
            </w:r>
            <w:r w:rsidR="00A764AA">
              <w:rPr>
                <w:rFonts w:ascii="Arial" w:hAnsi="Arial" w:eastAsia="Arial" w:cs="Arial"/>
                <w:sz w:val="22"/>
                <w:szCs w:val="22"/>
                <w:bdr w:val="nil"/>
                <w:lang w:val="de-DE"/>
              </w:rPr>
              <w:t>geregelt werden sollte</w:t>
            </w:r>
            <w:r w:rsidR="0078680C">
              <w:rPr>
                <w:rFonts w:ascii="Arial" w:hAnsi="Arial" w:eastAsia="Arial" w:cs="Arial"/>
                <w:sz w:val="22"/>
                <w:szCs w:val="22"/>
                <w:bdr w:val="nil"/>
                <w:lang w:val="de-DE"/>
              </w:rPr>
              <w:t xml:space="preserve">, </w:t>
            </w:r>
            <w:r w:rsidR="00A764AA">
              <w:rPr>
                <w:rFonts w:ascii="Arial" w:hAnsi="Arial" w:eastAsia="Arial" w:cs="Arial"/>
                <w:sz w:val="22"/>
                <w:szCs w:val="22"/>
                <w:bdr w:val="nil"/>
                <w:lang w:val="de-DE"/>
              </w:rPr>
              <w:t xml:space="preserve">ist </w:t>
            </w:r>
            <w:r w:rsidR="0078680C">
              <w:rPr>
                <w:rFonts w:ascii="Arial" w:hAnsi="Arial" w:eastAsia="Arial" w:cs="Arial"/>
                <w:sz w:val="22"/>
                <w:szCs w:val="22"/>
                <w:bdr w:val="nil"/>
                <w:lang w:val="de-DE"/>
              </w:rPr>
              <w:t xml:space="preserve">insbesondere in den </w:t>
            </w:r>
            <w:r w:rsidR="00A764AA">
              <w:rPr>
                <w:rFonts w:ascii="Arial" w:hAnsi="Arial" w:eastAsia="Arial" w:cs="Arial"/>
                <w:sz w:val="22"/>
                <w:szCs w:val="22"/>
                <w:bdr w:val="nil"/>
                <w:lang w:val="de-DE"/>
              </w:rPr>
              <w:t>§</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C0685F" w:rsidR="0078680C">
              <w:rPr>
                <w:rFonts w:ascii="Arial" w:hAnsi="Arial"/>
                <w:sz w:val="22"/>
                <w:lang w:val="de-DE"/>
              </w:rPr>
              <w:instrText xml:space="preserve"> REF _Ref483821638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22</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bis </w:t>
            </w:r>
            <w:r w:rsidRPr="006353CB" w:rsidR="0078680C">
              <w:rPr>
                <w:rFonts w:ascii="Arial" w:hAnsi="Arial" w:cs="Arial"/>
                <w:sz w:val="22"/>
                <w:szCs w:val="22"/>
                <w:lang w:val="en-GB"/>
              </w:rPr>
              <w:fldChar w:fldCharType="begin"/>
            </w:r>
            <w:r w:rsidRPr="00C0685F" w:rsidR="0078680C">
              <w:rPr>
                <w:rFonts w:ascii="Arial" w:hAnsi="Arial"/>
                <w:sz w:val="22"/>
                <w:lang w:val="de-DE"/>
              </w:rPr>
              <w:instrText xml:space="preserve"> REF _Ref483821801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39</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ausgeführt.</w:t>
            </w:r>
          </w:p>
          <w:p w:rsidRPr="006C29B1" w:rsidR="00DD016F" w:rsidP="004B73F0" w:rsidRDefault="00781974" w14:paraId="4865CA19" w14:textId="1475CDE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eigenständige Rechtssubjekte und, vorbehaltlich der Rechtsordnung des Mitgliedstaates, eigenständige juristische Personen sein. Die Empfehlung, sie außerhalb von Exekutive und Legislative zu </w:t>
            </w:r>
            <w:r w:rsidR="00A764AA">
              <w:rPr>
                <w:rFonts w:ascii="Arial" w:hAnsi="Arial" w:eastAsia="Arial" w:cs="Arial"/>
                <w:sz w:val="22"/>
                <w:szCs w:val="22"/>
                <w:bdr w:val="nil"/>
                <w:lang w:val="de-DE"/>
              </w:rPr>
              <w:t>platzieren</w:t>
            </w:r>
            <w:r w:rsidR="0078680C">
              <w:rPr>
                <w:rFonts w:ascii="Arial" w:hAnsi="Arial" w:eastAsia="Arial" w:cs="Arial"/>
                <w:sz w:val="22"/>
                <w:szCs w:val="22"/>
                <w:bdr w:val="nil"/>
                <w:lang w:val="de-DE"/>
              </w:rPr>
              <w:t>, schließt nicht alle Interaktionen mit diesen Organen aus.</w:t>
            </w:r>
            <w:r w:rsidR="00A764AA">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Exekutive und Legislative sollten </w:t>
            </w:r>
            <w:r w:rsidR="00A764AA">
              <w:rPr>
                <w:rFonts w:ascii="Arial" w:hAnsi="Arial" w:eastAsia="Arial" w:cs="Arial"/>
                <w:sz w:val="22"/>
                <w:szCs w:val="22"/>
                <w:bdr w:val="nil"/>
                <w:lang w:val="de-DE"/>
              </w:rPr>
              <w:t xml:space="preserve">vielmehr </w:t>
            </w:r>
            <w:r w:rsidR="0078680C">
              <w:rPr>
                <w:rFonts w:ascii="Arial" w:hAnsi="Arial" w:eastAsia="Arial" w:cs="Arial"/>
                <w:sz w:val="22"/>
                <w:szCs w:val="22"/>
                <w:bdr w:val="nil"/>
                <w:lang w:val="de-DE"/>
              </w:rPr>
              <w:t xml:space="preserve">die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A764AA">
              <w:rPr>
                <w:rFonts w:ascii="Arial" w:hAnsi="Arial" w:eastAsia="Arial" w:cs="Arial"/>
                <w:sz w:val="22"/>
                <w:szCs w:val="22"/>
                <w:bdr w:val="nil"/>
                <w:lang w:val="de-DE"/>
              </w:rPr>
              <w:t>in allen Fragen</w:t>
            </w:r>
            <w:r w:rsidR="0078680C">
              <w:rPr>
                <w:rFonts w:ascii="Arial" w:hAnsi="Arial" w:eastAsia="Arial" w:cs="Arial"/>
                <w:sz w:val="22"/>
                <w:szCs w:val="22"/>
                <w:bdr w:val="nil"/>
                <w:lang w:val="de-DE"/>
              </w:rPr>
              <w:t xml:space="preserve">, die unter deren Mandat fallen, konsultieren und </w:t>
            </w:r>
            <w:r w:rsidR="00A764AA">
              <w:rPr>
                <w:rFonts w:ascii="Arial" w:hAnsi="Arial" w:eastAsia="Arial" w:cs="Arial"/>
                <w:sz w:val="22"/>
                <w:szCs w:val="22"/>
                <w:bdr w:val="nil"/>
                <w:lang w:val="de-DE"/>
              </w:rPr>
              <w:t>sich mit ihr austauschen</w:t>
            </w:r>
            <w:r w:rsidR="0078680C">
              <w:rPr>
                <w:rFonts w:ascii="Arial" w:hAnsi="Arial" w:eastAsia="Arial" w:cs="Arial"/>
                <w:sz w:val="22"/>
                <w:szCs w:val="22"/>
                <w:bdr w:val="nil"/>
                <w:lang w:val="de-DE"/>
              </w:rPr>
              <w:t>. Gleichzeitig sollte</w:t>
            </w:r>
            <w:r w:rsidR="00EB5612">
              <w:rPr>
                <w:rFonts w:ascii="Arial" w:hAnsi="Arial" w:eastAsia="Arial" w:cs="Arial"/>
                <w:sz w:val="22"/>
                <w:szCs w:val="22"/>
                <w:bdr w:val="nil"/>
                <w:lang w:val="de-DE"/>
              </w:rPr>
              <w:t>n weder</w:t>
            </w:r>
            <w:r w:rsidR="0078680C">
              <w:rPr>
                <w:rFonts w:ascii="Arial" w:hAnsi="Arial" w:eastAsia="Arial" w:cs="Arial"/>
                <w:sz w:val="22"/>
                <w:szCs w:val="22"/>
                <w:bdr w:val="nil"/>
                <w:lang w:val="de-DE"/>
              </w:rPr>
              <w:t xml:space="preserve"> die Exekutive </w:t>
            </w:r>
            <w:r w:rsidR="00EB5612">
              <w:rPr>
                <w:rFonts w:ascii="Arial" w:hAnsi="Arial" w:eastAsia="Arial" w:cs="Arial"/>
                <w:sz w:val="22"/>
                <w:szCs w:val="22"/>
                <w:bdr w:val="nil"/>
                <w:lang w:val="de-DE"/>
              </w:rPr>
              <w:t>noch</w:t>
            </w:r>
            <w:r w:rsidR="0078680C">
              <w:rPr>
                <w:rFonts w:ascii="Arial" w:hAnsi="Arial" w:eastAsia="Arial" w:cs="Arial"/>
                <w:sz w:val="22"/>
                <w:szCs w:val="22"/>
                <w:bdr w:val="nil"/>
                <w:lang w:val="de-DE"/>
              </w:rPr>
              <w:t xml:space="preserve"> die Legislative die Befugnis haben,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EB5612">
              <w:rPr>
                <w:rFonts w:ascii="Arial" w:hAnsi="Arial" w:eastAsia="Arial" w:cs="Arial"/>
                <w:sz w:val="22"/>
                <w:szCs w:val="22"/>
                <w:bdr w:val="nil"/>
                <w:lang w:val="de-DE"/>
              </w:rPr>
              <w:t>Anweisungen zu</w:t>
            </w:r>
            <w:r w:rsidR="0078680C">
              <w:rPr>
                <w:rFonts w:ascii="Arial" w:hAnsi="Arial" w:eastAsia="Arial" w:cs="Arial"/>
                <w:sz w:val="22"/>
                <w:szCs w:val="22"/>
                <w:bdr w:val="nil"/>
                <w:lang w:val="de-DE"/>
              </w:rPr>
              <w:t xml:space="preserve"> deren strategische Planung, Funktionsweise und Tätigkeit</w:t>
            </w:r>
            <w:r w:rsidR="00A764AA">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zu erteilen. </w:t>
            </w:r>
          </w:p>
          <w:p w:rsidRPr="006C29B1" w:rsidR="00DD016F" w:rsidP="004B73F0" w:rsidRDefault="0078680C" w14:paraId="0406EBDD" w14:textId="4F66A14D">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cs="Arial"/>
                <w:i/>
                <w:sz w:val="22"/>
                <w:szCs w:val="22"/>
                <w:bdr w:val="nil"/>
                <w:lang w:val="de-DE"/>
              </w:rPr>
              <w:lastRenderedPageBreak/>
              <w:t>D</w:t>
            </w:r>
            <w:r>
              <w:rPr>
                <w:rFonts w:ascii="Arial" w:hAnsi="Arial" w:eastAsia="Arial" w:cs="Arial"/>
                <w:i/>
                <w:iCs/>
                <w:sz w:val="22"/>
                <w:szCs w:val="22"/>
                <w:bdr w:val="nil"/>
                <w:lang w:val="de-DE"/>
              </w:rPr>
              <w:t>e facto</w:t>
            </w:r>
            <w:r>
              <w:rPr>
                <w:rFonts w:ascii="Arial" w:hAnsi="Arial" w:eastAsia="Arial" w:cs="Arial"/>
                <w:sz w:val="22"/>
                <w:szCs w:val="22"/>
                <w:bdr w:val="nil"/>
                <w:lang w:val="de-DE"/>
              </w:rPr>
              <w:t xml:space="preserve">-Unabhängigkeit bedeutet, dass die Exekutive und die Legislative nicht versuchen sollten, direkt oder indirekt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Anweisungen zu geben oder diese un</w:t>
            </w:r>
            <w:r w:rsidR="00C31827">
              <w:rPr>
                <w:rFonts w:ascii="Arial" w:hAnsi="Arial" w:eastAsia="Arial" w:cs="Arial"/>
                <w:sz w:val="22"/>
                <w:szCs w:val="22"/>
                <w:bdr w:val="nil"/>
                <w:lang w:val="de-DE"/>
              </w:rPr>
              <w:t>angemessen</w:t>
            </w:r>
            <w:r>
              <w:rPr>
                <w:rFonts w:ascii="Arial" w:hAnsi="Arial" w:eastAsia="Arial" w:cs="Arial"/>
                <w:sz w:val="22"/>
                <w:szCs w:val="22"/>
                <w:bdr w:val="nil"/>
                <w:lang w:val="de-DE"/>
              </w:rPr>
              <w:t xml:space="preserve"> zu beeinflussen. </w:t>
            </w:r>
            <w:r w:rsidR="00C31827">
              <w:rPr>
                <w:rFonts w:ascii="Arial" w:hAnsi="Arial" w:eastAsia="Arial" w:cs="Arial"/>
                <w:sz w:val="22"/>
                <w:szCs w:val="22"/>
                <w:bdr w:val="nil"/>
                <w:lang w:val="de-DE"/>
              </w:rPr>
              <w:t>Zu den Arten</w:t>
            </w:r>
            <w:r>
              <w:rPr>
                <w:rFonts w:ascii="Arial" w:hAnsi="Arial" w:eastAsia="Arial" w:cs="Arial"/>
                <w:sz w:val="22"/>
                <w:szCs w:val="22"/>
                <w:bdr w:val="nil"/>
                <w:lang w:val="de-DE"/>
              </w:rPr>
              <w:t xml:space="preserve"> </w:t>
            </w:r>
            <w:r w:rsidR="00A764AA">
              <w:rPr>
                <w:rFonts w:ascii="Arial" w:hAnsi="Arial" w:eastAsia="Arial" w:cs="Arial"/>
                <w:sz w:val="22"/>
                <w:szCs w:val="22"/>
                <w:bdr w:val="nil"/>
                <w:lang w:val="de-DE"/>
              </w:rPr>
              <w:t xml:space="preserve">solcher </w:t>
            </w:r>
            <w:r>
              <w:rPr>
                <w:rFonts w:ascii="Arial" w:hAnsi="Arial" w:eastAsia="Arial" w:cs="Arial"/>
                <w:sz w:val="22"/>
                <w:szCs w:val="22"/>
                <w:bdr w:val="nil"/>
                <w:lang w:val="de-DE"/>
              </w:rPr>
              <w:t>Einflussnahme</w:t>
            </w:r>
            <w:r w:rsidR="00EB5612">
              <w:rPr>
                <w:rFonts w:ascii="Arial" w:hAnsi="Arial" w:eastAsia="Arial" w:cs="Arial"/>
                <w:sz w:val="22"/>
                <w:szCs w:val="22"/>
                <w:bdr w:val="nil"/>
                <w:lang w:val="de-DE"/>
              </w:rPr>
              <w:t>n</w:t>
            </w:r>
            <w:r>
              <w:rPr>
                <w:rFonts w:ascii="Arial" w:hAnsi="Arial" w:eastAsia="Arial" w:cs="Arial"/>
                <w:sz w:val="22"/>
                <w:szCs w:val="22"/>
                <w:bdr w:val="nil"/>
                <w:lang w:val="de-DE"/>
              </w:rPr>
              <w:t xml:space="preserve"> </w:t>
            </w:r>
            <w:r w:rsidR="00C31827">
              <w:rPr>
                <w:rFonts w:ascii="Arial" w:hAnsi="Arial" w:eastAsia="Arial" w:cs="Arial"/>
                <w:sz w:val="22"/>
                <w:szCs w:val="22"/>
                <w:bdr w:val="nil"/>
                <w:lang w:val="de-DE"/>
              </w:rPr>
              <w:t>gehören</w:t>
            </w:r>
            <w:r>
              <w:rPr>
                <w:rFonts w:ascii="Arial" w:hAnsi="Arial" w:eastAsia="Arial" w:cs="Arial"/>
                <w:sz w:val="22"/>
                <w:szCs w:val="22"/>
                <w:bdr w:val="nil"/>
                <w:lang w:val="de-DE"/>
              </w:rPr>
              <w:t xml:space="preserve"> u.a. unverhältnismäßige </w:t>
            </w:r>
            <w:r w:rsidR="00C31827">
              <w:rPr>
                <w:rFonts w:ascii="Arial" w:hAnsi="Arial" w:eastAsia="Arial" w:cs="Arial"/>
                <w:sz w:val="22"/>
                <w:szCs w:val="22"/>
                <w:bdr w:val="nil"/>
                <w:lang w:val="de-DE"/>
              </w:rPr>
              <w:t xml:space="preserve">Kürzungen des Budgets </w:t>
            </w:r>
            <w:r>
              <w:rPr>
                <w:rFonts w:ascii="Arial" w:hAnsi="Arial" w:eastAsia="Arial" w:cs="Arial"/>
                <w:sz w:val="22"/>
                <w:szCs w:val="22"/>
                <w:bdr w:val="nil"/>
                <w:lang w:val="de-DE"/>
              </w:rPr>
              <w:t xml:space="preserve">oder der Entzug von </w:t>
            </w:r>
            <w:r w:rsidR="00C31827">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Befugnissen, die Bedrohung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seiner Führungskräfte oder Mitarbeiter und </w:t>
            </w:r>
            <w:r w:rsidR="00C31827">
              <w:rPr>
                <w:rFonts w:ascii="Arial" w:hAnsi="Arial" w:eastAsia="Arial" w:cs="Arial"/>
                <w:sz w:val="22"/>
                <w:szCs w:val="22"/>
                <w:bdr w:val="nil"/>
                <w:lang w:val="de-DE"/>
              </w:rPr>
              <w:t xml:space="preserve">der </w:t>
            </w:r>
            <w:r>
              <w:rPr>
                <w:rFonts w:ascii="Arial" w:hAnsi="Arial" w:eastAsia="Arial" w:cs="Arial"/>
                <w:sz w:val="22"/>
                <w:szCs w:val="22"/>
                <w:bdr w:val="nil"/>
                <w:lang w:val="de-DE"/>
              </w:rPr>
              <w:t xml:space="preserve">Einsatz </w:t>
            </w:r>
            <w:r w:rsidR="00C31827">
              <w:rPr>
                <w:rFonts w:ascii="Arial" w:hAnsi="Arial" w:eastAsia="Arial" w:cs="Arial"/>
                <w:sz w:val="22"/>
                <w:szCs w:val="22"/>
                <w:bdr w:val="nil"/>
                <w:lang w:val="de-DE"/>
              </w:rPr>
              <w:t>von</w:t>
            </w:r>
            <w:r>
              <w:rPr>
                <w:rFonts w:ascii="Arial" w:hAnsi="Arial" w:eastAsia="Arial" w:cs="Arial"/>
                <w:sz w:val="22"/>
                <w:szCs w:val="22"/>
                <w:bdr w:val="nil"/>
                <w:lang w:val="de-DE"/>
              </w:rPr>
              <w:t xml:space="preserve"> Medien oder anderer öffentlicher oder privater Institutionen, um Druck auf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auszuüben. </w:t>
            </w:r>
            <w:r w:rsidR="00C31827">
              <w:rPr>
                <w:rFonts w:ascii="Arial" w:hAnsi="Arial" w:eastAsia="Arial" w:cs="Arial"/>
                <w:sz w:val="22"/>
                <w:szCs w:val="22"/>
                <w:bdr w:val="nil"/>
                <w:lang w:val="de-DE"/>
              </w:rPr>
              <w:t>U</w:t>
            </w:r>
            <w:r>
              <w:rPr>
                <w:rFonts w:ascii="Arial" w:hAnsi="Arial" w:eastAsia="Arial" w:cs="Arial"/>
                <w:sz w:val="22"/>
                <w:szCs w:val="22"/>
                <w:bdr w:val="nil"/>
                <w:lang w:val="de-DE"/>
              </w:rPr>
              <w:t xml:space="preserve">m die Unabhängigkeit und Effektivität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vor </w:t>
            </w:r>
            <w:r w:rsidR="00C31827">
              <w:rPr>
                <w:rFonts w:ascii="Arial" w:hAnsi="Arial" w:eastAsia="Arial" w:cs="Arial"/>
                <w:sz w:val="22"/>
                <w:szCs w:val="22"/>
                <w:bdr w:val="nil"/>
                <w:lang w:val="de-DE"/>
              </w:rPr>
              <w:t xml:space="preserve">einer solchen </w:t>
            </w:r>
            <w:r>
              <w:rPr>
                <w:rFonts w:ascii="Arial" w:hAnsi="Arial" w:eastAsia="Arial" w:cs="Arial"/>
                <w:sz w:val="22"/>
                <w:szCs w:val="22"/>
                <w:bdr w:val="nil"/>
                <w:lang w:val="de-DE"/>
              </w:rPr>
              <w:t>un</w:t>
            </w:r>
            <w:r w:rsidR="00C31827">
              <w:rPr>
                <w:rFonts w:ascii="Arial" w:hAnsi="Arial" w:eastAsia="Arial" w:cs="Arial"/>
                <w:sz w:val="22"/>
                <w:szCs w:val="22"/>
                <w:bdr w:val="nil"/>
                <w:lang w:val="de-DE"/>
              </w:rPr>
              <w:t xml:space="preserve">angemessenen </w:t>
            </w:r>
            <w:r>
              <w:rPr>
                <w:rFonts w:ascii="Arial" w:hAnsi="Arial" w:eastAsia="Arial" w:cs="Arial"/>
                <w:sz w:val="22"/>
                <w:szCs w:val="22"/>
                <w:bdr w:val="nil"/>
                <w:lang w:val="de-DE"/>
              </w:rPr>
              <w:t xml:space="preserve">Einflussnahme zu schützen, </w:t>
            </w:r>
            <w:r w:rsidR="00C31827">
              <w:rPr>
                <w:rFonts w:ascii="Arial" w:hAnsi="Arial" w:eastAsia="Arial" w:cs="Arial"/>
                <w:sz w:val="22"/>
                <w:szCs w:val="22"/>
                <w:bdr w:val="nil"/>
                <w:lang w:val="de-DE"/>
              </w:rPr>
              <w:t xml:space="preserve">sollte das Gesetz </w:t>
            </w:r>
            <w:r>
              <w:rPr>
                <w:rFonts w:ascii="Arial" w:hAnsi="Arial" w:eastAsia="Arial" w:cs="Arial"/>
                <w:sz w:val="22"/>
                <w:szCs w:val="22"/>
                <w:bdr w:val="nil"/>
                <w:lang w:val="de-DE"/>
              </w:rPr>
              <w:t xml:space="preserve">auch </w:t>
            </w:r>
            <w:r w:rsidR="00C31827">
              <w:rPr>
                <w:rFonts w:ascii="Arial" w:hAnsi="Arial" w:eastAsia="Arial" w:cs="Arial"/>
                <w:sz w:val="22"/>
                <w:szCs w:val="22"/>
                <w:bdr w:val="nil"/>
                <w:lang w:val="de-DE"/>
              </w:rPr>
              <w:t xml:space="preserve">Garantien </w:t>
            </w:r>
            <w:r>
              <w:rPr>
                <w:rFonts w:ascii="Arial" w:hAnsi="Arial" w:eastAsia="Arial" w:cs="Arial"/>
                <w:sz w:val="22"/>
                <w:szCs w:val="22"/>
                <w:bdr w:val="nil"/>
                <w:lang w:val="de-DE"/>
              </w:rPr>
              <w:t xml:space="preserve">im Hinblick auf die </w:t>
            </w:r>
            <w:r w:rsidR="00C31827">
              <w:rPr>
                <w:rFonts w:ascii="Arial" w:hAnsi="Arial" w:eastAsia="Arial" w:cs="Arial"/>
                <w:sz w:val="22"/>
                <w:szCs w:val="22"/>
                <w:bdr w:val="nil"/>
                <w:lang w:val="de-DE"/>
              </w:rPr>
              <w:t>Kompetenz</w:t>
            </w:r>
            <w:r>
              <w:rPr>
                <w:rFonts w:ascii="Arial" w:hAnsi="Arial" w:eastAsia="Arial" w:cs="Arial"/>
                <w:sz w:val="22"/>
                <w:szCs w:val="22"/>
                <w:bdr w:val="nil"/>
                <w:lang w:val="de-DE"/>
              </w:rPr>
              <w:t xml:space="preserve">en, Befugnisse und Ressourcen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enthalten (siehe </w:t>
            </w:r>
            <w:r w:rsidR="00A764AA">
              <w:rPr>
                <w:rFonts w:ascii="Arial" w:hAnsi="Arial" w:eastAsia="Arial" w:cs="Arial"/>
                <w:sz w:val="22"/>
                <w:szCs w:val="22"/>
                <w:bdr w:val="nil"/>
                <w:lang w:val="de-DE"/>
              </w:rPr>
              <w:t>§</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3 und 28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w:t>
            </w:r>
          </w:p>
          <w:p w:rsidRPr="00C0685F" w:rsidR="00DD016F" w:rsidP="004B73F0" w:rsidRDefault="0078680C" w14:paraId="18933B67" w14:textId="313DF872">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Die Personen, die Führungspositionen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bekleiden, sollten ihre Unabhängigkeit betonen und diese geltend machen, wenn sie im Namen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tätig werden. </w:t>
            </w:r>
            <w:r w:rsidR="00C31827">
              <w:rPr>
                <w:rFonts w:ascii="Arial" w:hAnsi="Arial" w:eastAsia="Arial" w:cs="Arial"/>
                <w:sz w:val="22"/>
                <w:szCs w:val="22"/>
                <w:bdr w:val="nil"/>
                <w:lang w:val="de-DE"/>
              </w:rPr>
              <w:t>Als</w:t>
            </w:r>
            <w:r>
              <w:rPr>
                <w:rFonts w:ascii="Arial" w:hAnsi="Arial" w:eastAsia="Arial" w:cs="Arial"/>
                <w:sz w:val="22"/>
                <w:szCs w:val="22"/>
                <w:bdr w:val="nil"/>
                <w:lang w:val="de-DE"/>
              </w:rPr>
              <w:t xml:space="preserve"> zusätzliche Absicherung </w:t>
            </w:r>
            <w:r w:rsidR="00C31827">
              <w:rPr>
                <w:rFonts w:ascii="Arial" w:hAnsi="Arial" w:eastAsia="Arial" w:cs="Arial"/>
                <w:sz w:val="22"/>
                <w:szCs w:val="22"/>
                <w:bdr w:val="nil"/>
                <w:lang w:val="de-DE"/>
              </w:rPr>
              <w:t>sollte der</w:t>
            </w:r>
            <w:r>
              <w:rPr>
                <w:rFonts w:ascii="Arial" w:hAnsi="Arial" w:eastAsia="Arial" w:cs="Arial"/>
                <w:sz w:val="22"/>
                <w:szCs w:val="22"/>
                <w:bdr w:val="nil"/>
                <w:lang w:val="de-DE"/>
              </w:rPr>
              <w:t xml:space="preserve"> Austausch zwischen Exekutive, Legislative und den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möglichst offen und transparent gestalte</w:t>
            </w:r>
            <w:r w:rsidR="00C31827">
              <w:rPr>
                <w:rFonts w:ascii="Arial" w:hAnsi="Arial" w:eastAsia="Arial" w:cs="Arial"/>
                <w:sz w:val="22"/>
                <w:szCs w:val="22"/>
                <w:bdr w:val="nil"/>
                <w:lang w:val="de-DE"/>
              </w:rPr>
              <w:t>t werde</w:t>
            </w:r>
            <w:r>
              <w:rPr>
                <w:rFonts w:ascii="Arial" w:hAnsi="Arial" w:eastAsia="Arial" w:cs="Arial"/>
                <w:sz w:val="22"/>
                <w:szCs w:val="22"/>
                <w:bdr w:val="nil"/>
                <w:lang w:val="de-DE"/>
              </w:rPr>
              <w:t xml:space="preserve">n. </w:t>
            </w:r>
          </w:p>
          <w:p w:rsidRPr="006C29B1" w:rsidR="00DD016F" w:rsidP="004B73F0" w:rsidRDefault="0078680C" w14:paraId="635AA825" w14:textId="56EE1CDB">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Unabhängigkeit muss einhergehen mit Effektivität, um zu gewährleisten, dass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C31827">
              <w:rPr>
                <w:rFonts w:ascii="Arial" w:hAnsi="Arial" w:eastAsia="Arial" w:cs="Arial"/>
                <w:sz w:val="22"/>
                <w:szCs w:val="22"/>
                <w:bdr w:val="nil"/>
                <w:lang w:val="de-DE"/>
              </w:rPr>
              <w:t xml:space="preserve">greifbare </w:t>
            </w:r>
            <w:r w:rsidRPr="00C31827" w:rsidR="00C31827">
              <w:rPr>
                <w:rFonts w:ascii="Arial" w:hAnsi="Arial" w:eastAsia="Arial" w:cs="Arial"/>
                <w:sz w:val="22"/>
                <w:szCs w:val="22"/>
                <w:bdr w:val="nil"/>
                <w:lang w:val="de-DE"/>
              </w:rPr>
              <w:t>Fortschritte erzielen</w:t>
            </w:r>
            <w:r w:rsidR="00C31827">
              <w:rPr>
                <w:rFonts w:ascii="Arial" w:hAnsi="Arial" w:eastAsia="Arial" w:cs="Arial"/>
                <w:sz w:val="22"/>
                <w:szCs w:val="22"/>
                <w:bdr w:val="nil"/>
                <w:lang w:val="de-DE"/>
              </w:rPr>
              <w:t xml:space="preserve"> kann</w:t>
            </w:r>
            <w:r>
              <w:rPr>
                <w:rFonts w:ascii="Arial" w:hAnsi="Arial" w:eastAsia="Arial" w:cs="Arial"/>
                <w:sz w:val="22"/>
                <w:szCs w:val="22"/>
                <w:bdr w:val="nil"/>
                <w:lang w:val="de-DE"/>
              </w:rPr>
              <w:t xml:space="preserve">. Effektivität bedeutet, dass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ihre Funktionen und </w:t>
            </w:r>
            <w:r w:rsidR="00C31827">
              <w:rPr>
                <w:rFonts w:ascii="Arial" w:hAnsi="Arial" w:eastAsia="Arial" w:cs="Arial"/>
                <w:sz w:val="22"/>
                <w:szCs w:val="22"/>
                <w:bdr w:val="nil"/>
                <w:lang w:val="de-DE"/>
              </w:rPr>
              <w:t xml:space="preserve">Kompetenzen </w:t>
            </w:r>
            <w:r>
              <w:rPr>
                <w:rFonts w:ascii="Arial" w:hAnsi="Arial" w:eastAsia="Arial" w:cs="Arial"/>
                <w:sz w:val="22"/>
                <w:szCs w:val="22"/>
                <w:bdr w:val="nil"/>
                <w:lang w:val="de-DE"/>
              </w:rPr>
              <w:t>auf eine Weise</w:t>
            </w:r>
            <w:r w:rsidR="00C31827">
              <w:rPr>
                <w:rFonts w:ascii="Arial" w:hAnsi="Arial" w:eastAsia="Arial" w:cs="Arial"/>
                <w:sz w:val="22"/>
                <w:szCs w:val="22"/>
                <w:bdr w:val="nil"/>
                <w:lang w:val="de-DE"/>
              </w:rPr>
              <w:t>,</w:t>
            </w:r>
            <w:r>
              <w:rPr>
                <w:rFonts w:ascii="Arial" w:hAnsi="Arial" w:eastAsia="Arial" w:cs="Arial"/>
                <w:sz w:val="22"/>
                <w:szCs w:val="22"/>
                <w:bdr w:val="nil"/>
                <w:lang w:val="de-DE"/>
              </w:rPr>
              <w:t xml:space="preserve"> in einem Umfang und gemäß einem Standard umsetzt, die einen wesentlichen Einfluss auf das Erreichen der Gleichheit und die </w:t>
            </w:r>
            <w:r w:rsidR="00C31827">
              <w:rPr>
                <w:rFonts w:ascii="Arial" w:hAnsi="Arial" w:eastAsia="Arial" w:cs="Arial"/>
                <w:sz w:val="22"/>
                <w:szCs w:val="22"/>
                <w:bdr w:val="nil"/>
                <w:lang w:val="de-DE"/>
              </w:rPr>
              <w:t xml:space="preserve">Eliminierung </w:t>
            </w:r>
            <w:r>
              <w:rPr>
                <w:rFonts w:ascii="Arial" w:hAnsi="Arial" w:eastAsia="Arial" w:cs="Arial"/>
                <w:sz w:val="22"/>
                <w:szCs w:val="22"/>
                <w:bdr w:val="nil"/>
                <w:lang w:val="de-DE"/>
              </w:rPr>
              <w:t xml:space="preserve">von Diskriminierung und Intoleranz haben. </w:t>
            </w:r>
            <w:r w:rsidR="00C31827">
              <w:rPr>
                <w:rFonts w:ascii="Arial" w:hAnsi="Arial" w:eastAsia="Arial" w:cs="Arial"/>
                <w:sz w:val="22"/>
                <w:szCs w:val="22"/>
                <w:bdr w:val="nil"/>
                <w:lang w:val="de-DE"/>
              </w:rPr>
              <w:t>Um effektiv arbeiten zu können,</w:t>
            </w:r>
            <w:r>
              <w:rPr>
                <w:rFonts w:ascii="Arial" w:hAnsi="Arial" w:eastAsia="Arial" w:cs="Arial"/>
                <w:sz w:val="22"/>
                <w:szCs w:val="22"/>
                <w:bdr w:val="nil"/>
                <w:lang w:val="de-DE"/>
              </w:rPr>
              <w:t xml:space="preserve"> benötigen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vor allem angemessene </w:t>
            </w:r>
            <w:r w:rsidR="00C31827">
              <w:rPr>
                <w:rFonts w:ascii="Arial" w:hAnsi="Arial" w:eastAsia="Arial" w:cs="Arial"/>
                <w:sz w:val="22"/>
                <w:szCs w:val="22"/>
                <w:bdr w:val="nil"/>
                <w:lang w:val="de-DE"/>
              </w:rPr>
              <w:t>Kompetenz</w:t>
            </w:r>
            <w:r>
              <w:rPr>
                <w:rFonts w:ascii="Arial" w:hAnsi="Arial" w:eastAsia="Arial" w:cs="Arial"/>
                <w:sz w:val="22"/>
                <w:szCs w:val="22"/>
                <w:bdr w:val="nil"/>
                <w:lang w:val="de-DE"/>
              </w:rPr>
              <w:t xml:space="preserve">en, Befugnisse und Ressourcen, wie in den </w:t>
            </w:r>
            <w:r w:rsidR="00A764AA">
              <w:rPr>
                <w:rFonts w:ascii="Arial" w:hAnsi="Arial" w:eastAsia="Arial" w:cs="Arial"/>
                <w:sz w:val="22"/>
                <w:szCs w:val="22"/>
                <w:bdr w:val="nil"/>
                <w:lang w:val="de-DE"/>
              </w:rPr>
              <w:t>§</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_Ref474139265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13</w:t>
            </w:r>
            <w:r w:rsidRPr="006353CB">
              <w:rPr>
                <w:rFonts w:ascii="Arial" w:hAnsi="Arial" w:cs="Arial"/>
                <w:sz w:val="22"/>
                <w:szCs w:val="22"/>
                <w:lang w:val="en-GB"/>
              </w:rPr>
              <w:fldChar w:fldCharType="end"/>
            </w:r>
            <w:r w:rsidRPr="00C0685F" w:rsidR="00EB5612">
              <w:rPr>
                <w:rFonts w:ascii="Arial" w:hAnsi="Arial" w:cs="Arial"/>
                <w:sz w:val="22"/>
                <w:szCs w:val="22"/>
                <w:lang w:val="de-DE"/>
              </w:rPr>
              <w:t xml:space="preserve"> </w:t>
            </w:r>
            <w:r>
              <w:rPr>
                <w:rFonts w:ascii="Arial" w:hAnsi="Arial" w:eastAsia="Arial" w:cs="Arial"/>
                <w:sz w:val="22"/>
                <w:szCs w:val="22"/>
                <w:bdr w:val="nil"/>
                <w:lang w:val="de-DE"/>
              </w:rPr>
              <w:t xml:space="preserve">ff.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ausgeführt.</w:t>
            </w:r>
          </w:p>
        </w:tc>
      </w:tr>
      <w:tr w:rsidRPr="00C0685F" w:rsidR="00D8651C" w:rsidTr="00C0685F" w14:paraId="05B26A53" w14:textId="77777777">
        <w:trPr>
          <w:gridAfter w:val="1"/>
          <w:wAfter w:w="649" w:type="dxa"/>
        </w:trPr>
        <w:tc>
          <w:tcPr>
            <w:tcW w:w="0" w:type="auto"/>
          </w:tcPr>
          <w:p w:rsidRPr="006353CB" w:rsidR="00DD016F" w:rsidP="004B73F0" w:rsidRDefault="00786C47" w14:paraId="78330433" w14:textId="326A4D95">
            <w:pPr>
              <w:tabs>
                <w:tab w:val="left" w:pos="3828"/>
              </w:tabs>
              <w:spacing w:before="100" w:beforeAutospacing="1" w:after="100" w:afterAutospacing="1" w:line="240" w:lineRule="exact"/>
              <w:jc w:val="both"/>
              <w:rPr>
                <w:rFonts w:ascii="Arial" w:hAnsi="Arial" w:cs="Arial"/>
                <w:i/>
                <w:sz w:val="22"/>
                <w:szCs w:val="22"/>
              </w:rPr>
            </w:pPr>
            <w:bookmarkStart w:name="_Ref474231303" w:id="45"/>
            <w:r>
              <w:rPr>
                <w:rFonts w:ascii="Arial" w:hAnsi="Arial" w:eastAsia="Arial" w:cs="Arial"/>
                <w:i/>
                <w:iCs/>
                <w:sz w:val="22"/>
                <w:szCs w:val="22"/>
                <w:bdr w:val="nil"/>
                <w:lang w:val="de-DE"/>
              </w:rPr>
              <w:lastRenderedPageBreak/>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_Ref486586501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4B73F0" w:rsidRDefault="0078680C" w14:paraId="5835094B" w14:textId="1CCF383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Details zu den Kernelementen, die durch den Text zur </w:t>
            </w:r>
            <w:r w:rsidR="00717C12">
              <w:rPr>
                <w:rFonts w:ascii="Arial" w:hAnsi="Arial" w:eastAsia="Arial" w:cs="Arial"/>
                <w:sz w:val="22"/>
                <w:szCs w:val="22"/>
                <w:bdr w:val="nil"/>
                <w:lang w:val="de-DE"/>
              </w:rPr>
              <w:t>Errichtung</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oder, wenn die Stelle in der Verfassung verankert wird, in einem zusätzlichen detaillierteren Gesetz über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geregelt werden, sind in den folgenden </w:t>
            </w:r>
            <w:r w:rsidR="00A764AA">
              <w:rPr>
                <w:rFonts w:ascii="Arial" w:hAnsi="Arial" w:eastAsia="Arial" w:cs="Arial"/>
                <w:sz w:val="22"/>
                <w:szCs w:val="22"/>
                <w:bdr w:val="nil"/>
                <w:lang w:val="de-DE"/>
              </w:rPr>
              <w:t xml:space="preserve">Paragraphen </w:t>
            </w:r>
            <w:r>
              <w:rPr>
                <w:rFonts w:ascii="Arial" w:hAnsi="Arial" w:eastAsia="Arial" w:cs="Arial"/>
                <w:sz w:val="22"/>
                <w:szCs w:val="22"/>
                <w:bdr w:val="nil"/>
                <w:lang w:val="de-DE"/>
              </w:rPr>
              <w:t xml:space="preserve">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beschrieben. </w:t>
            </w:r>
            <w:bookmarkEnd w:id="45"/>
          </w:p>
        </w:tc>
      </w:tr>
      <w:tr w:rsidRPr="00046FAE" w:rsidR="00D8651C" w:rsidTr="00C0685F" w14:paraId="29377D02" w14:textId="77777777">
        <w:trPr>
          <w:gridAfter w:val="1"/>
          <w:wAfter w:w="649" w:type="dxa"/>
        </w:trPr>
        <w:tc>
          <w:tcPr>
            <w:tcW w:w="0" w:type="auto"/>
          </w:tcPr>
          <w:p w:rsidRPr="006353CB" w:rsidR="00DD016F" w:rsidP="004B73F0" w:rsidRDefault="00786C47" w14:paraId="28A5B118" w14:textId="61A5FA78">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_Ref486586338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4</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4B73F0" w:rsidRDefault="0078680C" w14:paraId="7787AF5F" w14:textId="02A4657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Das Mandat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sollte breit angelegt und umfassend sein und alle Tätigkeiten einschließen, die der Förderung und Erreichung der Gleich</w:t>
            </w:r>
            <w:r w:rsidR="00C31827">
              <w:rPr>
                <w:rFonts w:ascii="Arial" w:hAnsi="Arial" w:eastAsia="Arial" w:cs="Arial"/>
                <w:sz w:val="22"/>
                <w:szCs w:val="22"/>
                <w:bdr w:val="nil"/>
                <w:lang w:val="de-DE"/>
              </w:rPr>
              <w:t xml:space="preserve">heit </w:t>
            </w:r>
            <w:r>
              <w:rPr>
                <w:rFonts w:ascii="Arial" w:hAnsi="Arial" w:eastAsia="Arial" w:cs="Arial"/>
                <w:sz w:val="22"/>
                <w:szCs w:val="22"/>
                <w:bdr w:val="nil"/>
                <w:lang w:val="de-DE"/>
              </w:rPr>
              <w:t>dienen. D</w:t>
            </w:r>
            <w:r w:rsidR="00C31827">
              <w:rPr>
                <w:rFonts w:ascii="Arial" w:hAnsi="Arial" w:eastAsia="Arial" w:cs="Arial"/>
                <w:sz w:val="22"/>
                <w:szCs w:val="22"/>
                <w:bdr w:val="nil"/>
                <w:lang w:val="de-DE"/>
              </w:rPr>
              <w:t>ie Verwirklichung</w:t>
            </w:r>
            <w:r>
              <w:rPr>
                <w:rFonts w:ascii="Arial" w:hAnsi="Arial" w:eastAsia="Arial" w:cs="Arial"/>
                <w:sz w:val="22"/>
                <w:szCs w:val="22"/>
                <w:bdr w:val="nil"/>
                <w:lang w:val="de-DE"/>
              </w:rPr>
              <w:t xml:space="preserve"> der Gleich</w:t>
            </w:r>
            <w:r w:rsidR="00EB5612">
              <w:rPr>
                <w:rFonts w:ascii="Arial" w:hAnsi="Arial" w:eastAsia="Arial" w:cs="Arial"/>
                <w:sz w:val="22"/>
                <w:szCs w:val="22"/>
                <w:bdr w:val="nil"/>
                <w:lang w:val="de-DE"/>
              </w:rPr>
              <w:t xml:space="preserve">heit </w:t>
            </w:r>
            <w:r>
              <w:rPr>
                <w:rFonts w:ascii="Arial" w:hAnsi="Arial" w:eastAsia="Arial" w:cs="Arial"/>
                <w:sz w:val="22"/>
                <w:szCs w:val="22"/>
                <w:bdr w:val="nil"/>
                <w:lang w:val="de-DE"/>
              </w:rPr>
              <w:t xml:space="preserve">schließt </w:t>
            </w:r>
            <w:r w:rsidR="00C31827">
              <w:rPr>
                <w:rFonts w:ascii="Arial" w:hAnsi="Arial" w:eastAsia="Arial" w:cs="Arial"/>
                <w:sz w:val="22"/>
                <w:szCs w:val="22"/>
                <w:bdr w:val="nil"/>
                <w:lang w:val="de-DE"/>
              </w:rPr>
              <w:t>zweierlei</w:t>
            </w:r>
            <w:r>
              <w:rPr>
                <w:rFonts w:ascii="Arial" w:hAnsi="Arial" w:eastAsia="Arial" w:cs="Arial"/>
                <w:sz w:val="22"/>
                <w:szCs w:val="22"/>
                <w:bdr w:val="nil"/>
                <w:lang w:val="de-DE"/>
              </w:rPr>
              <w:t xml:space="preserve"> ein: den gleichberechtigten Zugang zu Rechten und die gleichberechtigte Ausübung von Rechten durch Menschen, die Diskriminierung und Intoleranz erleben, und die Verbesserung </w:t>
            </w:r>
            <w:r w:rsidR="00C31827">
              <w:rPr>
                <w:rFonts w:ascii="Arial" w:hAnsi="Arial" w:eastAsia="Arial" w:cs="Arial"/>
                <w:sz w:val="22"/>
                <w:szCs w:val="22"/>
                <w:bdr w:val="nil"/>
                <w:lang w:val="de-DE"/>
              </w:rPr>
              <w:t>ihrer individuellen und kollektiven</w:t>
            </w:r>
            <w:r>
              <w:rPr>
                <w:rFonts w:ascii="Arial" w:hAnsi="Arial" w:eastAsia="Arial" w:cs="Arial"/>
                <w:sz w:val="22"/>
                <w:szCs w:val="22"/>
                <w:bdr w:val="nil"/>
                <w:lang w:val="de-DE"/>
              </w:rPr>
              <w:t xml:space="preserve"> </w:t>
            </w:r>
            <w:r w:rsidR="00C31827">
              <w:rPr>
                <w:rFonts w:ascii="Arial" w:hAnsi="Arial" w:eastAsia="Arial" w:cs="Arial"/>
                <w:sz w:val="22"/>
                <w:szCs w:val="22"/>
                <w:bdr w:val="nil"/>
                <w:lang w:val="de-DE"/>
              </w:rPr>
              <w:t xml:space="preserve">Situation </w:t>
            </w:r>
            <w:r>
              <w:rPr>
                <w:rFonts w:ascii="Arial" w:hAnsi="Arial" w:eastAsia="Arial" w:cs="Arial"/>
                <w:sz w:val="22"/>
                <w:szCs w:val="22"/>
                <w:bdr w:val="nil"/>
                <w:lang w:val="de-DE"/>
              </w:rPr>
              <w:t xml:space="preserve">in verschiedenen Bereichen. </w:t>
            </w:r>
            <w:r w:rsidR="00C31827">
              <w:rPr>
                <w:rFonts w:ascii="Arial" w:hAnsi="Arial" w:eastAsia="Arial" w:cs="Arial"/>
                <w:sz w:val="22"/>
                <w:szCs w:val="22"/>
                <w:bdr w:val="nil"/>
                <w:lang w:val="de-DE"/>
              </w:rPr>
              <w:t>Zu d</w:t>
            </w:r>
            <w:r>
              <w:rPr>
                <w:rFonts w:ascii="Arial" w:hAnsi="Arial" w:eastAsia="Arial" w:cs="Arial"/>
                <w:sz w:val="22"/>
                <w:szCs w:val="22"/>
                <w:bdr w:val="nil"/>
                <w:lang w:val="de-DE"/>
              </w:rPr>
              <w:t>iese</w:t>
            </w:r>
            <w:r w:rsidR="00C31827">
              <w:rPr>
                <w:rFonts w:ascii="Arial" w:hAnsi="Arial" w:eastAsia="Arial" w:cs="Arial"/>
                <w:sz w:val="22"/>
                <w:szCs w:val="22"/>
                <w:bdr w:val="nil"/>
                <w:lang w:val="de-DE"/>
              </w:rPr>
              <w:t>n</w:t>
            </w:r>
            <w:r>
              <w:rPr>
                <w:rFonts w:ascii="Arial" w:hAnsi="Arial" w:eastAsia="Arial" w:cs="Arial"/>
                <w:sz w:val="22"/>
                <w:szCs w:val="22"/>
                <w:bdr w:val="nil"/>
                <w:lang w:val="de-DE"/>
              </w:rPr>
              <w:t xml:space="preserve"> Bereiche</w:t>
            </w:r>
            <w:r w:rsidR="00981C65">
              <w:rPr>
                <w:rFonts w:ascii="Arial" w:hAnsi="Arial" w:eastAsia="Arial" w:cs="Arial"/>
                <w:sz w:val="22"/>
                <w:szCs w:val="22"/>
                <w:bdr w:val="nil"/>
                <w:lang w:val="de-DE"/>
              </w:rPr>
              <w:t>n</w:t>
            </w:r>
            <w:r>
              <w:rPr>
                <w:rFonts w:ascii="Arial" w:hAnsi="Arial" w:eastAsia="Arial" w:cs="Arial"/>
                <w:sz w:val="22"/>
                <w:szCs w:val="22"/>
                <w:bdr w:val="nil"/>
                <w:lang w:val="de-DE"/>
              </w:rPr>
              <w:t xml:space="preserve"> </w:t>
            </w:r>
            <w:r w:rsidR="00C31827">
              <w:rPr>
                <w:rFonts w:ascii="Arial" w:hAnsi="Arial" w:eastAsia="Arial" w:cs="Arial"/>
                <w:sz w:val="22"/>
                <w:szCs w:val="22"/>
                <w:bdr w:val="nil"/>
                <w:lang w:val="de-DE"/>
              </w:rPr>
              <w:t>gehören</w:t>
            </w:r>
            <w:r>
              <w:rPr>
                <w:rFonts w:ascii="Arial" w:hAnsi="Arial" w:eastAsia="Arial" w:cs="Arial"/>
                <w:sz w:val="22"/>
                <w:szCs w:val="22"/>
                <w:bdr w:val="nil"/>
                <w:lang w:val="de-DE"/>
              </w:rPr>
              <w:t xml:space="preserve"> u.a. Bildung</w:t>
            </w:r>
            <w:r w:rsidR="00EB5612">
              <w:rPr>
                <w:rFonts w:ascii="Arial" w:hAnsi="Arial" w:eastAsia="Arial" w:cs="Arial"/>
                <w:sz w:val="22"/>
                <w:szCs w:val="22"/>
                <w:bdr w:val="nil"/>
                <w:lang w:val="de-DE"/>
              </w:rPr>
              <w:t xml:space="preserve"> und Erziehung</w:t>
            </w:r>
            <w:r>
              <w:rPr>
                <w:rFonts w:ascii="Arial" w:hAnsi="Arial" w:eastAsia="Arial" w:cs="Arial"/>
                <w:sz w:val="22"/>
                <w:szCs w:val="22"/>
                <w:bdr w:val="nil"/>
                <w:lang w:val="de-DE"/>
              </w:rPr>
              <w:t>, Beschäftigung, Wohnen und Gesundheit; politische Vertretung, Macht und Einfluss</w:t>
            </w:r>
            <w:r w:rsidR="00C31827">
              <w:rPr>
                <w:rFonts w:ascii="Arial" w:hAnsi="Arial" w:eastAsia="Arial" w:cs="Arial"/>
                <w:sz w:val="22"/>
                <w:szCs w:val="22"/>
                <w:bdr w:val="nil"/>
                <w:lang w:val="de-DE"/>
              </w:rPr>
              <w:t xml:space="preserve"> auf</w:t>
            </w:r>
            <w:r>
              <w:rPr>
                <w:rFonts w:ascii="Arial" w:hAnsi="Arial" w:eastAsia="Arial" w:cs="Arial"/>
                <w:sz w:val="22"/>
                <w:szCs w:val="22"/>
                <w:bdr w:val="nil"/>
                <w:lang w:val="de-DE"/>
              </w:rPr>
              <w:t xml:space="preserve"> Entscheidungen; Anerkennung, Status und </w:t>
            </w:r>
            <w:r w:rsidR="00C31827">
              <w:rPr>
                <w:rFonts w:ascii="Arial" w:hAnsi="Arial" w:eastAsia="Arial" w:cs="Arial"/>
                <w:sz w:val="22"/>
                <w:szCs w:val="22"/>
                <w:bdr w:val="nil"/>
                <w:lang w:val="de-DE"/>
              </w:rPr>
              <w:t>Ansehen</w:t>
            </w:r>
            <w:r>
              <w:rPr>
                <w:rFonts w:ascii="Arial" w:hAnsi="Arial" w:eastAsia="Arial" w:cs="Arial"/>
                <w:sz w:val="22"/>
                <w:szCs w:val="22"/>
                <w:bdr w:val="nil"/>
                <w:lang w:val="de-DE"/>
              </w:rPr>
              <w:t xml:space="preserve">; und Beziehungen basierend auf </w:t>
            </w:r>
            <w:r w:rsidR="00C31827">
              <w:rPr>
                <w:rFonts w:ascii="Arial" w:hAnsi="Arial" w:eastAsia="Arial" w:cs="Arial"/>
                <w:sz w:val="22"/>
                <w:szCs w:val="22"/>
                <w:bdr w:val="nil"/>
                <w:lang w:val="de-DE"/>
              </w:rPr>
              <w:t>Fürsorge</w:t>
            </w:r>
            <w:r>
              <w:rPr>
                <w:rFonts w:ascii="Arial" w:hAnsi="Arial" w:eastAsia="Arial" w:cs="Arial"/>
                <w:sz w:val="22"/>
                <w:szCs w:val="22"/>
                <w:bdr w:val="nil"/>
                <w:lang w:val="de-DE"/>
              </w:rPr>
              <w:t xml:space="preserve">, Respekt und Solidarität </w:t>
            </w:r>
            <w:r w:rsidR="00C31827">
              <w:rPr>
                <w:rFonts w:ascii="Arial" w:hAnsi="Arial" w:eastAsia="Arial" w:cs="Arial"/>
                <w:sz w:val="22"/>
                <w:szCs w:val="22"/>
                <w:bdr w:val="nil"/>
                <w:lang w:val="de-DE"/>
              </w:rPr>
              <w:t xml:space="preserve">mit </w:t>
            </w:r>
            <w:r>
              <w:rPr>
                <w:rFonts w:ascii="Arial" w:hAnsi="Arial" w:eastAsia="Arial" w:cs="Arial"/>
                <w:sz w:val="22"/>
                <w:szCs w:val="22"/>
                <w:bdr w:val="nil"/>
                <w:lang w:val="de-DE"/>
              </w:rPr>
              <w:t xml:space="preserve">anderen Gruppen und Institutionen. </w:t>
            </w:r>
          </w:p>
          <w:p w:rsidRPr="006C29B1" w:rsidR="00DD016F" w:rsidP="004B73F0" w:rsidRDefault="00981C65" w14:paraId="2B5FBE8F" w14:textId="52CDE36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 xml:space="preserve">Prävention und </w:t>
            </w:r>
            <w:r>
              <w:rPr>
                <w:rFonts w:ascii="Arial" w:hAnsi="Arial" w:eastAsia="Arial" w:cs="Arial"/>
                <w:sz w:val="22"/>
                <w:szCs w:val="22"/>
                <w:bdr w:val="nil"/>
                <w:lang w:val="de-DE"/>
              </w:rPr>
              <w:t xml:space="preserve">Eliminierung </w:t>
            </w:r>
            <w:r w:rsidR="0078680C">
              <w:rPr>
                <w:rFonts w:ascii="Arial" w:hAnsi="Arial" w:eastAsia="Arial" w:cs="Arial"/>
                <w:sz w:val="22"/>
                <w:szCs w:val="22"/>
                <w:bdr w:val="nil"/>
                <w:lang w:val="de-DE"/>
              </w:rPr>
              <w:t xml:space="preserve">von Diskriminierung und Intoleranz </w:t>
            </w:r>
            <w:r>
              <w:rPr>
                <w:rFonts w:ascii="Arial" w:hAnsi="Arial" w:eastAsia="Arial" w:cs="Arial"/>
                <w:sz w:val="22"/>
                <w:szCs w:val="22"/>
                <w:bdr w:val="nil"/>
                <w:lang w:val="de-DE"/>
              </w:rPr>
              <w:t xml:space="preserve">ist </w:t>
            </w:r>
            <w:r w:rsidR="0078680C">
              <w:rPr>
                <w:rFonts w:ascii="Arial" w:hAnsi="Arial" w:eastAsia="Arial" w:cs="Arial"/>
                <w:sz w:val="22"/>
                <w:szCs w:val="22"/>
                <w:bdr w:val="nil"/>
                <w:lang w:val="de-DE"/>
              </w:rPr>
              <w:t>ein Grundstein für das Erreichen der Gleich</w:t>
            </w:r>
            <w:r>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und schließt die Bekämpfung aller Formen von Rassismus (einschließlich Fremdenfeindlichkeit, Islamophobie, Antisemitismus und </w:t>
            </w:r>
            <w:r>
              <w:rPr>
                <w:rFonts w:ascii="Arial" w:hAnsi="Arial" w:eastAsia="Arial" w:cs="Arial"/>
                <w:sz w:val="22"/>
                <w:szCs w:val="22"/>
                <w:bdr w:val="nil"/>
                <w:lang w:val="de-DE"/>
              </w:rPr>
              <w:t>Antiziganismus</w:t>
            </w:r>
            <w:r w:rsidR="0078680C">
              <w:rPr>
                <w:rFonts w:ascii="Arial" w:hAnsi="Arial" w:eastAsia="Arial" w:cs="Arial"/>
                <w:sz w:val="22"/>
                <w:szCs w:val="22"/>
                <w:bdr w:val="nil"/>
                <w:lang w:val="de-DE"/>
              </w:rPr>
              <w:t xml:space="preserve">), Homophobie und Transphobie und deren Äußerungen ein, </w:t>
            </w:r>
            <w:r>
              <w:rPr>
                <w:rFonts w:ascii="Arial" w:hAnsi="Arial" w:eastAsia="Arial" w:cs="Arial"/>
                <w:sz w:val="22"/>
                <w:szCs w:val="22"/>
                <w:bdr w:val="nil"/>
                <w:lang w:val="de-DE"/>
              </w:rPr>
              <w:t xml:space="preserve">wie </w:t>
            </w:r>
            <w:r w:rsidR="00017082">
              <w:rPr>
                <w:rFonts w:ascii="Arial" w:hAnsi="Arial" w:eastAsia="Arial" w:cs="Arial"/>
                <w:sz w:val="22"/>
                <w:szCs w:val="22"/>
                <w:bdr w:val="nil"/>
                <w:lang w:val="de-DE"/>
              </w:rPr>
              <w:br/>
            </w:r>
            <w:r w:rsidR="0078680C">
              <w:rPr>
                <w:rFonts w:ascii="Arial" w:hAnsi="Arial" w:eastAsia="Arial" w:cs="Arial"/>
                <w:sz w:val="22"/>
                <w:szCs w:val="22"/>
                <w:bdr w:val="nil"/>
                <w:lang w:val="de-DE"/>
              </w:rPr>
              <w:t>z. B. Hassrede und Hass im Internet. Der Text</w:t>
            </w:r>
            <w:r>
              <w:rPr>
                <w:rFonts w:ascii="Arial" w:hAnsi="Arial" w:eastAsia="Arial" w:cs="Arial"/>
                <w:sz w:val="22"/>
                <w:szCs w:val="22"/>
                <w:bdr w:val="nil"/>
                <w:lang w:val="de-DE"/>
              </w:rPr>
              <w:t xml:space="preserve"> über die Errichtung</w:t>
            </w:r>
            <w:r w:rsidR="0078680C">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oder d</w:t>
            </w:r>
            <w:r>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Antidiskriminierungsgesetz</w:t>
            </w:r>
            <w:r>
              <w:rPr>
                <w:rFonts w:ascii="Arial" w:hAnsi="Arial" w:eastAsia="Arial" w:cs="Arial"/>
                <w:sz w:val="22"/>
                <w:szCs w:val="22"/>
                <w:bdr w:val="nil"/>
                <w:lang w:val="de-DE"/>
              </w:rPr>
              <w:t>gebung</w:t>
            </w:r>
            <w:r w:rsidR="0078680C">
              <w:rPr>
                <w:rFonts w:ascii="Arial" w:hAnsi="Arial" w:eastAsia="Arial" w:cs="Arial"/>
                <w:sz w:val="22"/>
                <w:szCs w:val="22"/>
                <w:bdr w:val="nil"/>
                <w:lang w:val="de-DE"/>
              </w:rPr>
              <w:t xml:space="preserve"> sollte </w:t>
            </w:r>
            <w:r>
              <w:rPr>
                <w:rFonts w:ascii="Arial" w:hAnsi="Arial" w:eastAsia="Arial" w:cs="Arial"/>
                <w:sz w:val="22"/>
                <w:szCs w:val="22"/>
                <w:bdr w:val="nil"/>
                <w:lang w:val="de-DE"/>
              </w:rPr>
              <w:t>ausdrücklich</w:t>
            </w:r>
            <w:r w:rsidR="0078680C">
              <w:rPr>
                <w:rFonts w:ascii="Arial" w:hAnsi="Arial" w:eastAsia="Arial" w:cs="Arial"/>
                <w:sz w:val="22"/>
                <w:szCs w:val="22"/>
                <w:bdr w:val="nil"/>
                <w:lang w:val="de-DE"/>
              </w:rPr>
              <w:t xml:space="preserve"> festlegen, dass Hassrede eine Form der Diskriminierung </w:t>
            </w:r>
            <w:r>
              <w:rPr>
                <w:rFonts w:ascii="Arial" w:hAnsi="Arial" w:eastAsia="Arial" w:cs="Arial"/>
                <w:sz w:val="22"/>
                <w:szCs w:val="22"/>
                <w:bdr w:val="nil"/>
                <w:lang w:val="de-DE"/>
              </w:rPr>
              <w:t>darstellt</w:t>
            </w:r>
            <w:r w:rsidR="0078680C">
              <w:rPr>
                <w:rFonts w:ascii="Arial" w:hAnsi="Arial" w:eastAsia="Arial" w:cs="Arial"/>
                <w:sz w:val="22"/>
                <w:szCs w:val="22"/>
                <w:bdr w:val="nil"/>
                <w:lang w:val="de-DE"/>
              </w:rPr>
              <w:t xml:space="preserve"> und dass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den Auftrag haben, Hassrede zumindest mit</w:t>
            </w:r>
            <w:r>
              <w:rPr>
                <w:rFonts w:ascii="Arial" w:hAnsi="Arial" w:eastAsia="Arial" w:cs="Arial"/>
                <w:sz w:val="22"/>
                <w:szCs w:val="22"/>
                <w:bdr w:val="nil"/>
                <w:lang w:val="de-DE"/>
              </w:rPr>
              <w:t xml:space="preserve"> den Mitteln des</w:t>
            </w:r>
            <w:r w:rsidR="0078680C">
              <w:rPr>
                <w:rFonts w:ascii="Arial" w:hAnsi="Arial" w:eastAsia="Arial" w:cs="Arial"/>
                <w:sz w:val="22"/>
                <w:szCs w:val="22"/>
                <w:bdr w:val="nil"/>
                <w:lang w:val="de-DE"/>
              </w:rPr>
              <w:t xml:space="preserve"> Zivil- und Verwaltungsrecht</w:t>
            </w:r>
            <w:r>
              <w:rPr>
                <w:rFonts w:ascii="Arial" w:hAnsi="Arial" w:eastAsia="Arial" w:cs="Arial"/>
                <w:sz w:val="22"/>
                <w:szCs w:val="22"/>
                <w:bdr w:val="nil"/>
                <w:lang w:val="de-DE"/>
              </w:rPr>
              <w:t xml:space="preserve">s gemäß </w:t>
            </w:r>
            <w:r w:rsidR="00786C47">
              <w:rPr>
                <w:rFonts w:ascii="Arial" w:hAnsi="Arial" w:eastAsia="Arial" w:cs="Arial"/>
                <w:sz w:val="22"/>
                <w:szCs w:val="22"/>
                <w:bdr w:val="nil"/>
                <w:lang w:val="de-DE"/>
              </w:rPr>
              <w:t>§ </w:t>
            </w:r>
            <w:r w:rsidRPr="00981C65">
              <w:rPr>
                <w:rFonts w:ascii="Arial" w:hAnsi="Arial" w:eastAsia="Arial" w:cs="Arial"/>
                <w:sz w:val="22"/>
                <w:szCs w:val="22"/>
                <w:bdr w:val="nil"/>
                <w:lang w:val="de-DE"/>
              </w:rPr>
              <w:t>8 der APE Nr. 15 von ECRI zur Bekämpfung von Hassrede</w:t>
            </w:r>
            <w:r>
              <w:rPr>
                <w:rFonts w:ascii="Arial" w:hAnsi="Arial" w:eastAsia="Arial" w:cs="Arial"/>
                <w:sz w:val="22"/>
                <w:szCs w:val="22"/>
                <w:bdr w:val="nil"/>
                <w:lang w:val="de-DE"/>
              </w:rPr>
              <w:t xml:space="preserve"> zu begegnen</w:t>
            </w:r>
            <w:r w:rsidR="0078680C">
              <w:rPr>
                <w:rFonts w:ascii="Arial" w:hAnsi="Arial" w:eastAsia="Arial" w:cs="Arial"/>
                <w:sz w:val="22"/>
                <w:szCs w:val="22"/>
                <w:bdr w:val="nil"/>
                <w:lang w:val="de-DE"/>
              </w:rPr>
              <w:t xml:space="preserve">. Während Polizei und Staatsanwaltschaft die </w:t>
            </w:r>
            <w:r>
              <w:rPr>
                <w:rFonts w:ascii="Arial" w:hAnsi="Arial" w:eastAsia="Arial" w:cs="Arial"/>
                <w:sz w:val="22"/>
                <w:szCs w:val="22"/>
                <w:bdr w:val="nil"/>
                <w:lang w:val="de-DE"/>
              </w:rPr>
              <w:t xml:space="preserve">Behörden sind, </w:t>
            </w:r>
            <w:r w:rsidR="0078680C">
              <w:rPr>
                <w:rFonts w:ascii="Arial" w:hAnsi="Arial" w:eastAsia="Arial" w:cs="Arial"/>
                <w:sz w:val="22"/>
                <w:szCs w:val="22"/>
                <w:bdr w:val="nil"/>
                <w:lang w:val="de-DE"/>
              </w:rPr>
              <w:t xml:space="preserve">die </w:t>
            </w:r>
            <w:r>
              <w:rPr>
                <w:rFonts w:ascii="Arial" w:hAnsi="Arial" w:eastAsia="Arial" w:cs="Arial"/>
                <w:sz w:val="22"/>
                <w:szCs w:val="22"/>
                <w:bdr w:val="nil"/>
                <w:lang w:val="de-DE"/>
              </w:rPr>
              <w:t>vorrangig für die Bekämpfung von Hasskriminalität zuständigen sind</w:t>
            </w:r>
            <w:r w:rsidR="0078680C">
              <w:rPr>
                <w:rFonts w:ascii="Arial" w:hAnsi="Arial" w:eastAsia="Arial" w:cs="Arial"/>
                <w:sz w:val="22"/>
                <w:szCs w:val="22"/>
                <w:bdr w:val="nil"/>
                <w:lang w:val="de-DE"/>
              </w:rPr>
              <w:t xml:space="preserve">, sollten </w:t>
            </w:r>
            <w:r w:rsidR="00781974">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w:t>
            </w:r>
            <w:r>
              <w:rPr>
                <w:rFonts w:ascii="Arial" w:hAnsi="Arial" w:eastAsia="Arial" w:cs="Arial"/>
                <w:sz w:val="22"/>
                <w:szCs w:val="22"/>
                <w:bdr w:val="nil"/>
                <w:lang w:val="de-DE"/>
              </w:rPr>
              <w:t>dafür zuständig sein,</w:t>
            </w:r>
            <w:r w:rsidR="0078680C">
              <w:rPr>
                <w:rFonts w:ascii="Arial" w:hAnsi="Arial" w:eastAsia="Arial" w:cs="Arial"/>
                <w:sz w:val="22"/>
                <w:szCs w:val="22"/>
                <w:bdr w:val="nil"/>
                <w:lang w:val="de-DE"/>
              </w:rPr>
              <w:t xml:space="preserve"> Personen, die Hassverbrechen ausgesetzt </w:t>
            </w:r>
            <w:r>
              <w:rPr>
                <w:rFonts w:ascii="Arial" w:hAnsi="Arial" w:eastAsia="Arial" w:cs="Arial"/>
                <w:sz w:val="22"/>
                <w:szCs w:val="22"/>
                <w:bdr w:val="nil"/>
                <w:lang w:val="de-DE"/>
              </w:rPr>
              <w:t>sind</w:t>
            </w:r>
            <w:r w:rsidR="0078680C">
              <w:rPr>
                <w:rFonts w:ascii="Arial" w:hAnsi="Arial" w:eastAsia="Arial" w:cs="Arial"/>
                <w:sz w:val="22"/>
                <w:szCs w:val="22"/>
                <w:bdr w:val="nil"/>
                <w:lang w:val="de-DE"/>
              </w:rPr>
              <w:t xml:space="preserve">, persönliche Unterstützung und Rechtsberatung </w:t>
            </w:r>
            <w:r>
              <w:rPr>
                <w:rFonts w:ascii="Arial" w:hAnsi="Arial" w:eastAsia="Arial" w:cs="Arial"/>
                <w:sz w:val="22"/>
                <w:szCs w:val="22"/>
                <w:bdr w:val="nil"/>
                <w:lang w:val="de-DE"/>
              </w:rPr>
              <w:t xml:space="preserve">zu gewähren </w:t>
            </w:r>
            <w:r w:rsidR="0078680C">
              <w:rPr>
                <w:rFonts w:ascii="Arial" w:hAnsi="Arial" w:eastAsia="Arial" w:cs="Arial"/>
                <w:sz w:val="22"/>
                <w:szCs w:val="22"/>
                <w:bdr w:val="nil"/>
                <w:lang w:val="de-DE"/>
              </w:rPr>
              <w:t xml:space="preserve">und sie </w:t>
            </w:r>
            <w:r>
              <w:rPr>
                <w:rFonts w:ascii="Arial" w:hAnsi="Arial" w:eastAsia="Arial" w:cs="Arial"/>
                <w:sz w:val="22"/>
                <w:szCs w:val="22"/>
                <w:bdr w:val="nil"/>
                <w:lang w:val="de-DE"/>
              </w:rPr>
              <w:t xml:space="preserve">dann </w:t>
            </w:r>
            <w:r w:rsidR="0078680C">
              <w:rPr>
                <w:rFonts w:ascii="Arial" w:hAnsi="Arial" w:eastAsia="Arial" w:cs="Arial"/>
                <w:sz w:val="22"/>
                <w:szCs w:val="22"/>
                <w:bdr w:val="nil"/>
                <w:lang w:val="de-DE"/>
              </w:rPr>
              <w:t xml:space="preserve">an die zuständigen Behörden </w:t>
            </w:r>
            <w:r w:rsidR="00EB5612">
              <w:rPr>
                <w:rFonts w:ascii="Arial" w:hAnsi="Arial" w:eastAsia="Arial" w:cs="Arial"/>
                <w:sz w:val="22"/>
                <w:szCs w:val="22"/>
                <w:bdr w:val="nil"/>
                <w:lang w:val="de-DE"/>
              </w:rPr>
              <w:t xml:space="preserve">zu </w:t>
            </w:r>
            <w:r w:rsidR="0078680C">
              <w:rPr>
                <w:rFonts w:ascii="Arial" w:hAnsi="Arial" w:eastAsia="Arial" w:cs="Arial"/>
                <w:sz w:val="22"/>
                <w:szCs w:val="22"/>
                <w:bdr w:val="nil"/>
                <w:lang w:val="de-DE"/>
              </w:rPr>
              <w:t xml:space="preserve">verweisen (siehe </w:t>
            </w:r>
            <w:r w:rsidR="00D4725B">
              <w:rPr>
                <w:rFonts w:ascii="Arial" w:hAnsi="Arial" w:eastAsia="Arial" w:cs="Arial"/>
                <w:sz w:val="22"/>
                <w:szCs w:val="22"/>
                <w:bdr w:val="nil"/>
                <w:lang w:val="de-DE"/>
              </w:rPr>
              <w:t>§</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_Ref482625791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72</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und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_Ref482625812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81</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des Begründungstextes). </w:t>
            </w:r>
          </w:p>
          <w:p w:rsidRPr="006C29B1" w:rsidR="00DD016F" w:rsidP="004B73F0" w:rsidRDefault="0078680C" w14:paraId="07FAC557" w14:textId="0B874B84">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Strukturelle Diskriminierung bezieht sich auf Vorschriften, Normen, Routinen, Verhaltens- und Einstellungsmuster in Institutionen und anderen gesellschaftlichen Strukturen, die, bewusst oder unbewusst, Hürden für Gruppen oder Einzelpersonen darstellen, die gleichen Rechte und Chancen wie andere wahrzunehmen, und die für sie zu ungünstigeren Ergebnissen als für die Mehrheit der Bevölkerung </w:t>
            </w:r>
            <w:r w:rsidR="00A15212">
              <w:rPr>
                <w:rFonts w:ascii="Arial" w:hAnsi="Arial" w:eastAsia="Arial" w:cs="Arial"/>
                <w:sz w:val="22"/>
                <w:szCs w:val="22"/>
                <w:bdr w:val="nil"/>
                <w:lang w:val="de-DE"/>
              </w:rPr>
              <w:t>beitragen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w:t>
            </w:r>
            <w:r w:rsidR="00A15212">
              <w:rPr>
                <w:rFonts w:ascii="Arial" w:hAnsi="Arial" w:eastAsia="Arial" w:cs="Arial"/>
                <w:sz w:val="22"/>
                <w:szCs w:val="22"/>
                <w:bdr w:val="nil"/>
                <w:lang w:val="de-DE"/>
              </w:rPr>
              <w:t>einen besonderen Schwerpunkt auf die Bekämpfung struktu</w:t>
            </w:r>
            <w:r>
              <w:rPr>
                <w:rFonts w:ascii="Arial" w:hAnsi="Arial" w:eastAsia="Arial" w:cs="Arial"/>
                <w:sz w:val="22"/>
                <w:szCs w:val="22"/>
                <w:bdr w:val="nil"/>
                <w:lang w:val="de-DE"/>
              </w:rPr>
              <w:t>relle</w:t>
            </w:r>
            <w:r w:rsidR="00A15212">
              <w:rPr>
                <w:rFonts w:ascii="Arial" w:hAnsi="Arial" w:eastAsia="Arial" w:cs="Arial"/>
                <w:sz w:val="22"/>
                <w:szCs w:val="22"/>
                <w:bdr w:val="nil"/>
                <w:lang w:val="de-DE"/>
              </w:rPr>
              <w:t>r</w:t>
            </w:r>
            <w:r>
              <w:rPr>
                <w:rFonts w:ascii="Arial" w:hAnsi="Arial" w:eastAsia="Arial" w:cs="Arial"/>
                <w:sz w:val="22"/>
                <w:szCs w:val="22"/>
                <w:bdr w:val="nil"/>
                <w:lang w:val="de-DE"/>
              </w:rPr>
              <w:t xml:space="preserve"> Diskriminierung </w:t>
            </w:r>
            <w:r w:rsidR="00A15212">
              <w:rPr>
                <w:rFonts w:ascii="Arial" w:hAnsi="Arial" w:eastAsia="Arial" w:cs="Arial"/>
                <w:sz w:val="22"/>
                <w:szCs w:val="22"/>
                <w:bdr w:val="nil"/>
                <w:lang w:val="de-DE"/>
              </w:rPr>
              <w:t>legen</w:t>
            </w:r>
            <w:r>
              <w:rPr>
                <w:rFonts w:ascii="Arial" w:hAnsi="Arial" w:eastAsia="Arial" w:cs="Arial"/>
                <w:sz w:val="22"/>
                <w:szCs w:val="22"/>
                <w:bdr w:val="nil"/>
                <w:lang w:val="de-DE"/>
              </w:rPr>
              <w:t>, da (i)</w:t>
            </w:r>
            <w:r w:rsidR="00EB5612">
              <w:rPr>
                <w:rFonts w:ascii="Arial" w:hAnsi="Arial" w:eastAsia="Arial" w:cs="Arial"/>
                <w:sz w:val="22"/>
                <w:szCs w:val="22"/>
                <w:bdr w:val="nil"/>
                <w:lang w:val="de-DE"/>
              </w:rPr>
              <w:t> </w:t>
            </w:r>
            <w:r>
              <w:rPr>
                <w:rFonts w:ascii="Arial" w:hAnsi="Arial" w:eastAsia="Arial" w:cs="Arial"/>
                <w:sz w:val="22"/>
                <w:szCs w:val="22"/>
                <w:bdr w:val="nil"/>
                <w:lang w:val="de-DE"/>
              </w:rPr>
              <w:t xml:space="preserve">Personen, die </w:t>
            </w:r>
            <w:r w:rsidR="00A15212">
              <w:rPr>
                <w:rFonts w:ascii="Arial" w:hAnsi="Arial" w:eastAsia="Arial" w:cs="Arial"/>
                <w:sz w:val="22"/>
                <w:szCs w:val="22"/>
                <w:bdr w:val="nil"/>
                <w:lang w:val="de-DE"/>
              </w:rPr>
              <w:t xml:space="preserve">an </w:t>
            </w:r>
            <w:r>
              <w:rPr>
                <w:rFonts w:ascii="Arial" w:hAnsi="Arial" w:eastAsia="Arial" w:cs="Arial"/>
                <w:sz w:val="22"/>
                <w:szCs w:val="22"/>
                <w:bdr w:val="nil"/>
                <w:lang w:val="de-DE"/>
              </w:rPr>
              <w:t>strukturelle</w:t>
            </w:r>
            <w:r w:rsidR="00A15212">
              <w:rPr>
                <w:rFonts w:ascii="Arial" w:hAnsi="Arial" w:eastAsia="Arial" w:cs="Arial"/>
                <w:sz w:val="22"/>
                <w:szCs w:val="22"/>
                <w:bdr w:val="nil"/>
                <w:lang w:val="de-DE"/>
              </w:rPr>
              <w:t>r</w:t>
            </w:r>
            <w:r>
              <w:rPr>
                <w:rFonts w:ascii="Arial" w:hAnsi="Arial" w:eastAsia="Arial" w:cs="Arial"/>
                <w:sz w:val="22"/>
                <w:szCs w:val="22"/>
                <w:bdr w:val="nil"/>
                <w:lang w:val="de-DE"/>
              </w:rPr>
              <w:t xml:space="preserve"> Diskriminierung </w:t>
            </w:r>
            <w:r w:rsidR="00A15212">
              <w:rPr>
                <w:rFonts w:ascii="Arial" w:hAnsi="Arial" w:eastAsia="Arial" w:cs="Arial"/>
                <w:sz w:val="22"/>
                <w:szCs w:val="22"/>
                <w:bdr w:val="nil"/>
                <w:lang w:val="de-DE"/>
              </w:rPr>
              <w:t>mitwirken</w:t>
            </w:r>
            <w:r>
              <w:rPr>
                <w:rFonts w:ascii="Arial" w:hAnsi="Arial" w:eastAsia="Arial" w:cs="Arial"/>
                <w:sz w:val="22"/>
                <w:szCs w:val="22"/>
                <w:bdr w:val="nil"/>
                <w:lang w:val="de-DE"/>
              </w:rPr>
              <w:t>, sich häufig der diskriminierenden Auswirkungen ihrer Hand</w:t>
            </w:r>
            <w:r w:rsidR="00017082">
              <w:rPr>
                <w:rFonts w:ascii="Arial" w:hAnsi="Arial" w:eastAsia="Arial" w:cs="Arial"/>
                <w:sz w:val="22"/>
                <w:szCs w:val="22"/>
                <w:bdr w:val="nil"/>
                <w:lang w:val="de-DE"/>
              </w:rPr>
              <w:t>lungen nicht bewusst sind, (ii) </w:t>
            </w:r>
            <w:r>
              <w:rPr>
                <w:rFonts w:ascii="Arial" w:hAnsi="Arial" w:eastAsia="Arial" w:cs="Arial"/>
                <w:sz w:val="22"/>
                <w:szCs w:val="22"/>
                <w:bdr w:val="nil"/>
                <w:lang w:val="de-DE"/>
              </w:rPr>
              <w:t xml:space="preserve">strukturelle Diskriminierung regelmäßig eine große Anzahl von Menschen betrifft und (iii) </w:t>
            </w:r>
            <w:r w:rsidR="00A15212">
              <w:rPr>
                <w:rFonts w:ascii="Arial" w:hAnsi="Arial" w:eastAsia="Arial" w:cs="Arial"/>
                <w:sz w:val="22"/>
                <w:szCs w:val="22"/>
                <w:bdr w:val="nil"/>
                <w:lang w:val="de-DE"/>
              </w:rPr>
              <w:t>Einzelp</w:t>
            </w:r>
            <w:r>
              <w:rPr>
                <w:rFonts w:ascii="Arial" w:hAnsi="Arial" w:eastAsia="Arial" w:cs="Arial"/>
                <w:sz w:val="22"/>
                <w:szCs w:val="22"/>
                <w:bdr w:val="nil"/>
                <w:lang w:val="de-DE"/>
              </w:rPr>
              <w:t xml:space="preserve">ersonen häufig nicht in der Lage sind, </w:t>
            </w:r>
            <w:r w:rsidR="00A15212">
              <w:rPr>
                <w:rFonts w:ascii="Arial" w:hAnsi="Arial" w:eastAsia="Arial" w:cs="Arial"/>
                <w:sz w:val="22"/>
                <w:szCs w:val="22"/>
                <w:bdr w:val="nil"/>
                <w:lang w:val="de-DE"/>
              </w:rPr>
              <w:t>gegen strukturelle Diskriminierung innerhalb</w:t>
            </w:r>
            <w:r>
              <w:rPr>
                <w:rFonts w:ascii="Arial" w:hAnsi="Arial" w:eastAsia="Arial" w:cs="Arial"/>
                <w:sz w:val="22"/>
                <w:szCs w:val="22"/>
                <w:bdr w:val="nil"/>
                <w:lang w:val="de-DE"/>
              </w:rPr>
              <w:t xml:space="preserve"> mächtige</w:t>
            </w:r>
            <w:r w:rsidR="00A15212">
              <w:rPr>
                <w:rFonts w:ascii="Arial" w:hAnsi="Arial" w:eastAsia="Arial" w:cs="Arial"/>
                <w:sz w:val="22"/>
                <w:szCs w:val="22"/>
                <w:bdr w:val="nil"/>
                <w:lang w:val="de-DE"/>
              </w:rPr>
              <w:t xml:space="preserve">r </w:t>
            </w:r>
            <w:r>
              <w:rPr>
                <w:rFonts w:ascii="Arial" w:hAnsi="Arial" w:eastAsia="Arial" w:cs="Arial"/>
                <w:sz w:val="22"/>
                <w:szCs w:val="22"/>
                <w:bdr w:val="nil"/>
                <w:lang w:val="de-DE"/>
              </w:rPr>
              <w:t xml:space="preserve">Institutionen </w:t>
            </w:r>
            <w:r w:rsidR="00A15212">
              <w:rPr>
                <w:rFonts w:ascii="Arial" w:hAnsi="Arial" w:eastAsia="Arial" w:cs="Arial"/>
                <w:sz w:val="22"/>
                <w:szCs w:val="22"/>
                <w:bdr w:val="nil"/>
                <w:lang w:val="de-DE"/>
              </w:rPr>
              <w:t>anzugehen</w:t>
            </w:r>
            <w:r>
              <w:rPr>
                <w:rFonts w:ascii="Arial" w:hAnsi="Arial" w:eastAsia="Arial" w:cs="Arial"/>
                <w:sz w:val="22"/>
                <w:szCs w:val="22"/>
                <w:bdr w:val="nil"/>
                <w:lang w:val="de-DE"/>
              </w:rPr>
              <w:t xml:space="preserve">. </w:t>
            </w:r>
          </w:p>
          <w:p w:rsidRPr="006C29B1" w:rsidR="00DD016F" w:rsidP="004B73F0" w:rsidRDefault="0078680C" w14:paraId="3A715786" w14:textId="6D41621C">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Die Förderung von Vielfalt bedeutet</w:t>
            </w:r>
            <w:r w:rsidR="00D312B8">
              <w:rPr>
                <w:rFonts w:ascii="Arial" w:hAnsi="Arial" w:eastAsia="Arial" w:cs="Arial"/>
                <w:sz w:val="22"/>
                <w:szCs w:val="22"/>
                <w:bdr w:val="nil"/>
                <w:lang w:val="de-DE"/>
              </w:rPr>
              <w:t>,</w:t>
            </w:r>
            <w:r>
              <w:rPr>
                <w:rFonts w:ascii="Arial" w:hAnsi="Arial" w:eastAsia="Arial" w:cs="Arial"/>
                <w:sz w:val="22"/>
                <w:szCs w:val="22"/>
                <w:bdr w:val="nil"/>
                <w:lang w:val="de-DE"/>
              </w:rPr>
              <w:t xml:space="preserve"> die Wertschätzung von Vielfalt und de</w:t>
            </w:r>
            <w:r w:rsidR="00EB5612">
              <w:rPr>
                <w:rFonts w:ascii="Arial" w:hAnsi="Arial" w:eastAsia="Arial" w:cs="Arial"/>
                <w:sz w:val="22"/>
                <w:szCs w:val="22"/>
                <w:bdr w:val="nil"/>
                <w:lang w:val="de-DE"/>
              </w:rPr>
              <w:t>n durch sie geschaffenen</w:t>
            </w:r>
            <w:r>
              <w:rPr>
                <w:rFonts w:ascii="Arial" w:hAnsi="Arial" w:eastAsia="Arial" w:cs="Arial"/>
                <w:sz w:val="22"/>
                <w:szCs w:val="22"/>
                <w:bdr w:val="nil"/>
                <w:lang w:val="de-DE"/>
              </w:rPr>
              <w:t xml:space="preserve"> </w:t>
            </w:r>
            <w:r w:rsidR="00D312B8">
              <w:rPr>
                <w:rFonts w:ascii="Arial" w:hAnsi="Arial" w:eastAsia="Arial" w:cs="Arial"/>
                <w:sz w:val="22"/>
                <w:szCs w:val="22"/>
                <w:bdr w:val="nil"/>
                <w:lang w:val="de-DE"/>
              </w:rPr>
              <w:t>Mehrw</w:t>
            </w:r>
            <w:r>
              <w:rPr>
                <w:rFonts w:ascii="Arial" w:hAnsi="Arial" w:eastAsia="Arial" w:cs="Arial"/>
                <w:sz w:val="22"/>
                <w:szCs w:val="22"/>
                <w:bdr w:val="nil"/>
                <w:lang w:val="de-DE"/>
              </w:rPr>
              <w:t xml:space="preserve">ert </w:t>
            </w:r>
            <w:r w:rsidR="00D312B8">
              <w:rPr>
                <w:rFonts w:ascii="Arial" w:hAnsi="Arial" w:eastAsia="Arial" w:cs="Arial"/>
                <w:sz w:val="22"/>
                <w:szCs w:val="22"/>
                <w:bdr w:val="nil"/>
                <w:lang w:val="de-DE"/>
              </w:rPr>
              <w:t>in der</w:t>
            </w:r>
            <w:r>
              <w:rPr>
                <w:rFonts w:ascii="Arial" w:hAnsi="Arial" w:eastAsia="Arial" w:cs="Arial"/>
                <w:sz w:val="22"/>
                <w:szCs w:val="22"/>
                <w:bdr w:val="nil"/>
                <w:lang w:val="de-DE"/>
              </w:rPr>
              <w:t xml:space="preserve"> Gesellschaft und </w:t>
            </w:r>
            <w:r w:rsidR="00D312B8">
              <w:rPr>
                <w:rFonts w:ascii="Arial" w:hAnsi="Arial" w:eastAsia="Arial" w:cs="Arial"/>
                <w:sz w:val="22"/>
                <w:szCs w:val="22"/>
                <w:bdr w:val="nil"/>
                <w:lang w:val="de-DE"/>
              </w:rPr>
              <w:t xml:space="preserve">in </w:t>
            </w:r>
            <w:r>
              <w:rPr>
                <w:rFonts w:ascii="Arial" w:hAnsi="Arial" w:eastAsia="Arial" w:cs="Arial"/>
                <w:sz w:val="22"/>
                <w:szCs w:val="22"/>
                <w:bdr w:val="nil"/>
                <w:lang w:val="de-DE"/>
              </w:rPr>
              <w:t>Organisationen</w:t>
            </w:r>
            <w:r w:rsidR="00D312B8">
              <w:rPr>
                <w:rFonts w:ascii="Arial" w:hAnsi="Arial" w:eastAsia="Arial" w:cs="Arial"/>
                <w:sz w:val="22"/>
                <w:szCs w:val="22"/>
                <w:bdr w:val="nil"/>
                <w:lang w:val="de-DE"/>
              </w:rPr>
              <w:t xml:space="preserve"> zu </w:t>
            </w:r>
            <w:r w:rsidR="00EB5612">
              <w:rPr>
                <w:rFonts w:ascii="Arial" w:hAnsi="Arial" w:eastAsia="Arial" w:cs="Arial"/>
                <w:sz w:val="22"/>
                <w:szCs w:val="22"/>
                <w:bdr w:val="nil"/>
                <w:lang w:val="de-DE"/>
              </w:rPr>
              <w:t>fördern</w:t>
            </w:r>
            <w:r>
              <w:rPr>
                <w:rFonts w:ascii="Arial" w:hAnsi="Arial" w:eastAsia="Arial" w:cs="Arial"/>
                <w:sz w:val="22"/>
                <w:szCs w:val="22"/>
                <w:bdr w:val="nil"/>
                <w:lang w:val="de-DE"/>
              </w:rPr>
              <w:t xml:space="preserve"> </w:t>
            </w:r>
            <w:r w:rsidR="00E76DF5">
              <w:rPr>
                <w:rFonts w:ascii="Arial" w:hAnsi="Arial" w:eastAsia="Arial" w:cs="Arial"/>
                <w:sz w:val="22"/>
                <w:szCs w:val="22"/>
                <w:bdr w:val="nil"/>
                <w:lang w:val="de-DE"/>
              </w:rPr>
              <w:t xml:space="preserve">Dazu gehört es, angemessene </w:t>
            </w:r>
            <w:r>
              <w:rPr>
                <w:rFonts w:ascii="Arial" w:hAnsi="Arial" w:eastAsia="Arial" w:cs="Arial"/>
                <w:sz w:val="22"/>
                <w:szCs w:val="22"/>
                <w:bdr w:val="nil"/>
                <w:lang w:val="de-DE"/>
              </w:rPr>
              <w:t xml:space="preserve">Anpassungen </w:t>
            </w:r>
            <w:r w:rsidR="00E76DF5">
              <w:rPr>
                <w:rFonts w:ascii="Arial" w:hAnsi="Arial" w:eastAsia="Arial" w:cs="Arial"/>
                <w:sz w:val="22"/>
                <w:szCs w:val="22"/>
                <w:bdr w:val="nil"/>
                <w:lang w:val="de-DE"/>
              </w:rPr>
              <w:t>vorzunehmen</w:t>
            </w:r>
            <w:r>
              <w:rPr>
                <w:rFonts w:ascii="Arial" w:hAnsi="Arial" w:eastAsia="Arial" w:cs="Arial"/>
                <w:sz w:val="22"/>
                <w:szCs w:val="22"/>
                <w:bdr w:val="nil"/>
                <w:lang w:val="de-DE"/>
              </w:rPr>
              <w:t>, um d</w:t>
            </w:r>
            <w:r w:rsidR="00EB5612">
              <w:rPr>
                <w:rFonts w:ascii="Arial" w:hAnsi="Arial" w:eastAsia="Arial" w:cs="Arial"/>
                <w:sz w:val="22"/>
                <w:szCs w:val="22"/>
                <w:bdr w:val="nil"/>
                <w:lang w:val="de-DE"/>
              </w:rPr>
              <w:t>en</w:t>
            </w:r>
            <w:r>
              <w:rPr>
                <w:rFonts w:ascii="Arial" w:hAnsi="Arial" w:eastAsia="Arial" w:cs="Arial"/>
                <w:sz w:val="22"/>
                <w:szCs w:val="22"/>
                <w:bdr w:val="nil"/>
                <w:lang w:val="de-DE"/>
              </w:rPr>
              <w:t xml:space="preserve"> praktischen Auswirkungen von Vielfalt </w:t>
            </w:r>
            <w:r w:rsidR="00E76DF5">
              <w:rPr>
                <w:rFonts w:ascii="Arial" w:hAnsi="Arial" w:eastAsia="Arial" w:cs="Arial"/>
                <w:sz w:val="22"/>
                <w:szCs w:val="22"/>
                <w:bdr w:val="nil"/>
                <w:lang w:val="de-DE"/>
              </w:rPr>
              <w:t xml:space="preserve">Rechnung </w:t>
            </w:r>
            <w:r>
              <w:rPr>
                <w:rFonts w:ascii="Arial" w:hAnsi="Arial" w:eastAsia="Arial" w:cs="Arial"/>
                <w:sz w:val="22"/>
                <w:szCs w:val="22"/>
                <w:bdr w:val="nil"/>
                <w:lang w:val="de-DE"/>
              </w:rPr>
              <w:t xml:space="preserve">zu </w:t>
            </w:r>
            <w:r w:rsidR="00E76DF5">
              <w:rPr>
                <w:rFonts w:ascii="Arial" w:hAnsi="Arial" w:eastAsia="Arial" w:cs="Arial"/>
                <w:sz w:val="22"/>
                <w:szCs w:val="22"/>
                <w:bdr w:val="nil"/>
                <w:lang w:val="de-DE"/>
              </w:rPr>
              <w:t>tragen</w:t>
            </w:r>
            <w:r>
              <w:rPr>
                <w:rFonts w:ascii="Arial" w:hAnsi="Arial" w:eastAsia="Arial" w:cs="Arial"/>
                <w:sz w:val="22"/>
                <w:szCs w:val="22"/>
                <w:bdr w:val="nil"/>
                <w:lang w:val="de-DE"/>
              </w:rPr>
              <w:t xml:space="preserve">. Die Förderung guter Beziehungen zwischen unterschiedlichen </w:t>
            </w:r>
            <w:r w:rsidR="00E76DF5">
              <w:rPr>
                <w:rFonts w:ascii="Arial" w:hAnsi="Arial" w:eastAsia="Arial" w:cs="Arial"/>
                <w:sz w:val="22"/>
                <w:szCs w:val="22"/>
                <w:bdr w:val="nil"/>
                <w:lang w:val="de-DE"/>
              </w:rPr>
              <w:t xml:space="preserve">gesellschaftlichen </w:t>
            </w:r>
            <w:r>
              <w:rPr>
                <w:rFonts w:ascii="Arial" w:hAnsi="Arial" w:eastAsia="Arial" w:cs="Arial"/>
                <w:sz w:val="22"/>
                <w:szCs w:val="22"/>
                <w:bdr w:val="nil"/>
                <w:lang w:val="de-DE"/>
              </w:rPr>
              <w:t xml:space="preserve">Gruppen schließt die Förderung </w:t>
            </w:r>
            <w:r w:rsidR="00EB5612">
              <w:rPr>
                <w:rFonts w:ascii="Arial" w:hAnsi="Arial" w:eastAsia="Arial" w:cs="Arial"/>
                <w:sz w:val="22"/>
                <w:szCs w:val="22"/>
                <w:bdr w:val="nil"/>
                <w:lang w:val="de-DE"/>
              </w:rPr>
              <w:t xml:space="preserve">von </w:t>
            </w:r>
            <w:r>
              <w:rPr>
                <w:rFonts w:ascii="Arial" w:hAnsi="Arial" w:eastAsia="Arial" w:cs="Arial"/>
                <w:sz w:val="22"/>
                <w:szCs w:val="22"/>
                <w:bdr w:val="nil"/>
                <w:lang w:val="de-DE"/>
              </w:rPr>
              <w:t>gegenseitige</w:t>
            </w:r>
            <w:r w:rsidR="00EB5612">
              <w:rPr>
                <w:rFonts w:ascii="Arial" w:hAnsi="Arial" w:eastAsia="Arial" w:cs="Arial"/>
                <w:sz w:val="22"/>
                <w:szCs w:val="22"/>
                <w:bdr w:val="nil"/>
                <w:lang w:val="de-DE"/>
              </w:rPr>
              <w:t>m</w:t>
            </w:r>
            <w:r>
              <w:rPr>
                <w:rFonts w:ascii="Arial" w:hAnsi="Arial" w:eastAsia="Arial" w:cs="Arial"/>
                <w:sz w:val="22"/>
                <w:szCs w:val="22"/>
                <w:bdr w:val="nil"/>
                <w:lang w:val="de-DE"/>
              </w:rPr>
              <w:t xml:space="preserve"> Respekt, Verständnis und Integration ein, bei gleichzeitiger Fortführung der Bekämpfung von Diskriminierung und Intoleranz.</w:t>
            </w:r>
          </w:p>
        </w:tc>
      </w:tr>
      <w:tr w:rsidRPr="00046FAE" w:rsidR="00D8651C" w:rsidTr="00C0685F" w14:paraId="63D47633" w14:textId="77777777">
        <w:trPr>
          <w:gridAfter w:val="1"/>
          <w:wAfter w:w="649" w:type="dxa"/>
        </w:trPr>
        <w:tc>
          <w:tcPr>
            <w:tcW w:w="0" w:type="auto"/>
          </w:tcPr>
          <w:p w:rsidRPr="006C29B1" w:rsidR="00DD016F" w:rsidP="004B73F0" w:rsidRDefault="0078680C" w14:paraId="50C37A96" w14:textId="1D7365F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 xml:space="preserve">Das Mandat von ECRI ist auf die Diskriminierungsgründe beschränkt, die ausdrücklich in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4b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aufgeführt sind, und auf Mehrfach- und intersektion</w:t>
            </w:r>
            <w:r w:rsidR="00E76DF5">
              <w:rPr>
                <w:rFonts w:ascii="Arial" w:hAnsi="Arial" w:eastAsia="Arial" w:cs="Arial"/>
                <w:sz w:val="22"/>
                <w:szCs w:val="22"/>
                <w:bdr w:val="nil"/>
                <w:lang w:val="de-DE"/>
              </w:rPr>
              <w:t>elle</w:t>
            </w:r>
            <w:r>
              <w:rPr>
                <w:rFonts w:ascii="Arial" w:hAnsi="Arial" w:eastAsia="Arial" w:cs="Arial"/>
                <w:sz w:val="22"/>
                <w:szCs w:val="22"/>
                <w:bdr w:val="nil"/>
                <w:lang w:val="de-DE"/>
              </w:rPr>
              <w:t xml:space="preserve"> Diskriminierung </w:t>
            </w:r>
            <w:r w:rsidR="00E76DF5">
              <w:rPr>
                <w:rFonts w:ascii="Arial" w:hAnsi="Arial" w:eastAsia="Arial" w:cs="Arial"/>
                <w:sz w:val="22"/>
                <w:szCs w:val="22"/>
                <w:bdr w:val="nil"/>
                <w:lang w:val="de-DE"/>
              </w:rPr>
              <w:t xml:space="preserve">aufgrund </w:t>
            </w:r>
            <w:r>
              <w:rPr>
                <w:rFonts w:ascii="Arial" w:hAnsi="Arial" w:eastAsia="Arial" w:cs="Arial"/>
                <w:sz w:val="22"/>
                <w:szCs w:val="22"/>
                <w:bdr w:val="nil"/>
                <w:lang w:val="de-DE"/>
              </w:rPr>
              <w:t xml:space="preserve">dieser und anderer Gründe, die unter Artikel 14 der Europäischen Menschenrechtskonvention und Artikel 1 </w:t>
            </w:r>
            <w:r w:rsidR="00613F0B">
              <w:rPr>
                <w:rFonts w:ascii="Arial" w:hAnsi="Arial" w:eastAsia="Arial" w:cs="Arial"/>
                <w:sz w:val="22"/>
                <w:szCs w:val="22"/>
                <w:bdr w:val="nil"/>
                <w:lang w:val="de-DE"/>
              </w:rPr>
              <w:t>ihres P</w:t>
            </w:r>
            <w:r>
              <w:rPr>
                <w:rFonts w:ascii="Arial" w:hAnsi="Arial" w:eastAsia="Arial" w:cs="Arial"/>
                <w:sz w:val="22"/>
                <w:szCs w:val="22"/>
                <w:bdr w:val="nil"/>
                <w:lang w:val="de-DE"/>
              </w:rPr>
              <w:t xml:space="preserve">rotokolls Nr. 12 fallen. Die Mandate vieler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decken auch andere Gründe ab, die in diesen Bestimmungen genannt, aber von ECRI nicht abgedeckt werden. Die Empfehlungen dieser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können </w:t>
            </w:r>
            <w:r>
              <w:rPr>
                <w:rFonts w:ascii="Arial" w:hAnsi="Arial" w:eastAsia="Arial" w:cs="Arial"/>
                <w:i/>
                <w:iCs/>
                <w:sz w:val="22"/>
                <w:szCs w:val="22"/>
                <w:bdr w:val="nil"/>
                <w:lang w:val="de-DE"/>
              </w:rPr>
              <w:t>mutatis mutandi</w:t>
            </w:r>
            <w:r>
              <w:rPr>
                <w:rFonts w:ascii="Arial" w:hAnsi="Arial" w:eastAsia="Arial" w:cs="Arial"/>
                <w:sz w:val="22"/>
                <w:szCs w:val="22"/>
                <w:bdr w:val="nil"/>
                <w:lang w:val="de-DE"/>
              </w:rPr>
              <w:t xml:space="preserve"> auf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angewandt werden, die für Gründe zuständig sind, die nicht unter das Mandat von ECRI fallen. </w:t>
            </w:r>
          </w:p>
          <w:p w:rsidRPr="00C0685F" w:rsidR="00DD016F" w:rsidP="004B73F0" w:rsidRDefault="0078680C" w14:paraId="7642A38E" w14:textId="169A19C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bookmarkStart w:name="_Ref476131816" w:id="46"/>
            <w:r>
              <w:rPr>
                <w:rFonts w:ascii="Arial" w:hAnsi="Arial" w:eastAsia="Arial" w:cs="Arial"/>
                <w:sz w:val="22"/>
                <w:szCs w:val="22"/>
                <w:bdr w:val="nil"/>
                <w:lang w:val="de-DE"/>
              </w:rPr>
              <w:t xml:space="preserve">Eine Geschlechterperspektive sollte ein integraler Teil der Arbeit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sein. D</w:t>
            </w:r>
            <w:r w:rsidR="00E76DF5">
              <w:rPr>
                <w:rFonts w:ascii="Arial" w:hAnsi="Arial" w:eastAsia="Arial" w:cs="Arial"/>
                <w:sz w:val="22"/>
                <w:szCs w:val="22"/>
                <w:bdr w:val="nil"/>
                <w:lang w:val="de-DE"/>
              </w:rPr>
              <w:t>azu gehört</w:t>
            </w:r>
            <w:r>
              <w:rPr>
                <w:rFonts w:ascii="Arial" w:hAnsi="Arial" w:eastAsia="Arial" w:cs="Arial"/>
                <w:sz w:val="22"/>
                <w:szCs w:val="22"/>
                <w:bdr w:val="nil"/>
                <w:lang w:val="de-DE"/>
              </w:rPr>
              <w:t xml:space="preserve"> eine Analyse, ob die Bedürfnisse, Situation</w:t>
            </w:r>
            <w:r w:rsidR="00613F0B">
              <w:rPr>
                <w:rFonts w:ascii="Arial" w:hAnsi="Arial" w:eastAsia="Arial" w:cs="Arial"/>
                <w:sz w:val="22"/>
                <w:szCs w:val="22"/>
                <w:bdr w:val="nil"/>
                <w:lang w:val="de-DE"/>
              </w:rPr>
              <w:t>en</w:t>
            </w:r>
            <w:r>
              <w:rPr>
                <w:rFonts w:ascii="Arial" w:hAnsi="Arial" w:eastAsia="Arial" w:cs="Arial"/>
                <w:sz w:val="22"/>
                <w:szCs w:val="22"/>
                <w:bdr w:val="nil"/>
                <w:lang w:val="de-DE"/>
              </w:rPr>
              <w:t xml:space="preserve"> und Erfahrungen von Frauen und Männern in den Pl</w:t>
            </w:r>
            <w:r w:rsidR="00E76DF5">
              <w:rPr>
                <w:rFonts w:ascii="Arial" w:hAnsi="Arial" w:eastAsia="Arial" w:cs="Arial"/>
                <w:sz w:val="22"/>
                <w:szCs w:val="22"/>
                <w:bdr w:val="nil"/>
                <w:lang w:val="de-DE"/>
              </w:rPr>
              <w:t>anungen</w:t>
            </w:r>
            <w:r>
              <w:rPr>
                <w:rFonts w:ascii="Arial" w:hAnsi="Arial" w:eastAsia="Arial" w:cs="Arial"/>
                <w:sz w:val="22"/>
                <w:szCs w:val="22"/>
                <w:bdr w:val="nil"/>
                <w:lang w:val="de-DE"/>
              </w:rPr>
              <w:t xml:space="preserve"> und </w:t>
            </w:r>
            <w:r w:rsidR="00E76DF5">
              <w:rPr>
                <w:rFonts w:ascii="Arial" w:hAnsi="Arial" w:eastAsia="Arial" w:cs="Arial"/>
                <w:sz w:val="22"/>
                <w:szCs w:val="22"/>
                <w:bdr w:val="nil"/>
                <w:lang w:val="de-DE"/>
              </w:rPr>
              <w:t>Aktivitäten</w:t>
            </w:r>
            <w:r>
              <w:rPr>
                <w:rFonts w:ascii="Arial" w:hAnsi="Arial" w:eastAsia="Arial" w:cs="Arial"/>
                <w:sz w:val="22"/>
                <w:szCs w:val="22"/>
                <w:bdr w:val="nil"/>
                <w:lang w:val="de-DE"/>
              </w:rPr>
              <w:t xml:space="preserve">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Pr="00613F0B" w:rsidR="00613F0B">
              <w:rPr>
                <w:rFonts w:ascii="Arial" w:hAnsi="Arial" w:eastAsia="Arial" w:cs="Arial"/>
                <w:sz w:val="22"/>
                <w:szCs w:val="22"/>
                <w:bdr w:val="nil"/>
                <w:lang w:val="de-DE"/>
              </w:rPr>
              <w:t xml:space="preserve">in gleichem Maße </w:t>
            </w:r>
            <w:r>
              <w:rPr>
                <w:rFonts w:ascii="Arial" w:hAnsi="Arial" w:eastAsia="Arial" w:cs="Arial"/>
                <w:sz w:val="22"/>
                <w:szCs w:val="22"/>
                <w:bdr w:val="nil"/>
                <w:lang w:val="de-DE"/>
              </w:rPr>
              <w:t>be</w:t>
            </w:r>
            <w:r w:rsidR="00E76DF5">
              <w:rPr>
                <w:rFonts w:ascii="Arial" w:hAnsi="Arial" w:eastAsia="Arial" w:cs="Arial"/>
                <w:sz w:val="22"/>
                <w:szCs w:val="22"/>
                <w:bdr w:val="nil"/>
                <w:lang w:val="de-DE"/>
              </w:rPr>
              <w:t>rücksichtigt</w:t>
            </w:r>
            <w:r>
              <w:rPr>
                <w:rFonts w:ascii="Arial" w:hAnsi="Arial" w:eastAsia="Arial" w:cs="Arial"/>
                <w:sz w:val="22"/>
                <w:szCs w:val="22"/>
                <w:bdr w:val="nil"/>
                <w:lang w:val="de-DE"/>
              </w:rPr>
              <w:t xml:space="preserve"> </w:t>
            </w:r>
            <w:r w:rsidR="00E76DF5">
              <w:rPr>
                <w:rFonts w:ascii="Arial" w:hAnsi="Arial" w:eastAsia="Arial" w:cs="Arial"/>
                <w:sz w:val="22"/>
                <w:szCs w:val="22"/>
                <w:bdr w:val="nil"/>
                <w:lang w:val="de-DE"/>
              </w:rPr>
              <w:t xml:space="preserve">und bearbeitet </w:t>
            </w:r>
            <w:r>
              <w:rPr>
                <w:rFonts w:ascii="Arial" w:hAnsi="Arial" w:eastAsia="Arial" w:cs="Arial"/>
                <w:sz w:val="22"/>
                <w:szCs w:val="22"/>
                <w:bdr w:val="nil"/>
                <w:lang w:val="de-DE"/>
              </w:rPr>
              <w:t xml:space="preserve">werden. </w:t>
            </w:r>
          </w:p>
          <w:p w:rsidRPr="00C0685F" w:rsidR="00DD016F" w:rsidP="004B73F0" w:rsidRDefault="0078680C" w14:paraId="75898155" w14:textId="4118E44D">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Gleichzeitig sollte auch die Situation von Transgender- und Intersex-Personen </w:t>
            </w:r>
            <w:r w:rsidR="00E76DF5">
              <w:rPr>
                <w:rFonts w:ascii="Arial" w:hAnsi="Arial" w:eastAsia="Arial" w:cs="Arial"/>
                <w:sz w:val="22"/>
                <w:szCs w:val="22"/>
                <w:bdr w:val="nil"/>
                <w:lang w:val="de-DE"/>
              </w:rPr>
              <w:t>zusammen mit Untersuchungen</w:t>
            </w:r>
            <w:r>
              <w:rPr>
                <w:rFonts w:ascii="Arial" w:hAnsi="Arial" w:eastAsia="Arial" w:cs="Arial"/>
                <w:sz w:val="22"/>
                <w:szCs w:val="22"/>
                <w:bdr w:val="nil"/>
                <w:lang w:val="de-DE"/>
              </w:rPr>
              <w:t xml:space="preserve"> berücksichtigt werden, die binäre Genderkategorisierungen ablehnen (Menschenrechtskommissar des Europarats (2015), Human Rights and Intersex </w:t>
            </w:r>
            <w:r w:rsidR="00E76DF5">
              <w:rPr>
                <w:rFonts w:ascii="Arial" w:hAnsi="Arial" w:eastAsia="Arial" w:cs="Arial"/>
                <w:sz w:val="22"/>
                <w:szCs w:val="22"/>
                <w:bdr w:val="nil"/>
                <w:lang w:val="de-DE"/>
              </w:rPr>
              <w:t>People</w:t>
            </w:r>
            <w:r>
              <w:rPr>
                <w:rFonts w:ascii="Arial" w:hAnsi="Arial" w:eastAsia="Arial" w:cs="Arial"/>
                <w:sz w:val="22"/>
                <w:szCs w:val="22"/>
                <w:bdr w:val="nil"/>
                <w:lang w:val="de-DE"/>
              </w:rPr>
              <w:t>, S. 37</w:t>
            </w:r>
            <w:r w:rsidR="00613F0B">
              <w:rPr>
                <w:rFonts w:ascii="Arial" w:hAnsi="Arial" w:eastAsia="Arial" w:cs="Arial"/>
                <w:sz w:val="22"/>
                <w:szCs w:val="22"/>
                <w:bdr w:val="nil"/>
                <w:lang w:val="de-DE"/>
              </w:rPr>
              <w:t xml:space="preserve"> </w:t>
            </w:r>
            <w:r>
              <w:rPr>
                <w:rFonts w:ascii="Arial" w:hAnsi="Arial" w:eastAsia="Arial" w:cs="Arial"/>
                <w:sz w:val="22"/>
                <w:szCs w:val="22"/>
                <w:bdr w:val="nil"/>
                <w:lang w:val="de-DE"/>
              </w:rPr>
              <w:t>ff.).</w:t>
            </w:r>
            <w:bookmarkEnd w:id="46"/>
            <w:r>
              <w:rPr>
                <w:rFonts w:ascii="Arial" w:hAnsi="Arial" w:eastAsia="Arial" w:cs="Arial"/>
                <w:sz w:val="22"/>
                <w:szCs w:val="22"/>
                <w:bdr w:val="nil"/>
                <w:lang w:val="de-DE"/>
              </w:rPr>
              <w:t xml:space="preserve"> </w:t>
            </w:r>
          </w:p>
          <w:p w:rsidRPr="006C29B1" w:rsidR="00DD016F" w:rsidP="004B73F0" w:rsidRDefault="0078680C" w14:paraId="373398BC" w14:textId="29F15F9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bookmarkStart w:name="_Ref476131781" w:id="47"/>
            <w:r>
              <w:rPr>
                <w:rFonts w:ascii="Arial" w:hAnsi="Arial" w:eastAsia="Arial" w:cs="Arial"/>
                <w:sz w:val="22"/>
                <w:szCs w:val="22"/>
                <w:bdr w:val="nil"/>
                <w:lang w:val="de-DE"/>
              </w:rPr>
              <w:t xml:space="preserve">Mehrfachdiskriminierung </w:t>
            </w:r>
            <w:r w:rsidR="00613F0B">
              <w:rPr>
                <w:rFonts w:ascii="Arial" w:hAnsi="Arial" w:eastAsia="Arial" w:cs="Arial"/>
                <w:sz w:val="22"/>
                <w:szCs w:val="22"/>
                <w:bdr w:val="nil"/>
                <w:lang w:val="de-DE"/>
              </w:rPr>
              <w:t xml:space="preserve">bezeichnet </w:t>
            </w:r>
            <w:r>
              <w:rPr>
                <w:rFonts w:ascii="Arial" w:hAnsi="Arial" w:eastAsia="Arial" w:cs="Arial"/>
                <w:sz w:val="22"/>
                <w:szCs w:val="22"/>
                <w:bdr w:val="nil"/>
                <w:lang w:val="de-DE"/>
              </w:rPr>
              <w:t xml:space="preserve">eine Diskriminierung auf </w:t>
            </w:r>
            <w:r w:rsidR="00613F0B">
              <w:rPr>
                <w:rFonts w:ascii="Arial" w:hAnsi="Arial" w:eastAsia="Arial" w:cs="Arial"/>
                <w:sz w:val="22"/>
                <w:szCs w:val="22"/>
                <w:bdr w:val="nil"/>
                <w:lang w:val="de-DE"/>
              </w:rPr>
              <w:t xml:space="preserve">der </w:t>
            </w:r>
            <w:r>
              <w:rPr>
                <w:rFonts w:ascii="Arial" w:hAnsi="Arial" w:eastAsia="Arial" w:cs="Arial"/>
                <w:sz w:val="22"/>
                <w:szCs w:val="22"/>
                <w:bdr w:val="nil"/>
                <w:lang w:val="de-DE"/>
              </w:rPr>
              <w:t>Grundlage von zwei oder mehr Diskriminierungsgründen. Die intersektion</w:t>
            </w:r>
            <w:r w:rsidR="00130FE4">
              <w:rPr>
                <w:rFonts w:ascii="Arial" w:hAnsi="Arial" w:eastAsia="Arial" w:cs="Arial"/>
                <w:sz w:val="22"/>
                <w:szCs w:val="22"/>
                <w:bdr w:val="nil"/>
                <w:lang w:val="de-DE"/>
              </w:rPr>
              <w:t>el</w:t>
            </w:r>
            <w:r>
              <w:rPr>
                <w:rFonts w:ascii="Arial" w:hAnsi="Arial" w:eastAsia="Arial" w:cs="Arial"/>
                <w:sz w:val="22"/>
                <w:szCs w:val="22"/>
                <w:bdr w:val="nil"/>
                <w:lang w:val="de-DE"/>
              </w:rPr>
              <w:t xml:space="preserve">le Diskriminierung </w:t>
            </w:r>
            <w:r w:rsidR="00613F0B">
              <w:rPr>
                <w:rFonts w:ascii="Arial" w:hAnsi="Arial" w:eastAsia="Arial" w:cs="Arial"/>
                <w:sz w:val="22"/>
                <w:szCs w:val="22"/>
                <w:bdr w:val="nil"/>
                <w:lang w:val="de-DE"/>
              </w:rPr>
              <w:t xml:space="preserve">bezieht sich auf </w:t>
            </w:r>
            <w:r>
              <w:rPr>
                <w:rFonts w:ascii="Arial" w:hAnsi="Arial" w:eastAsia="Arial" w:cs="Arial"/>
                <w:sz w:val="22"/>
                <w:szCs w:val="22"/>
                <w:bdr w:val="nil"/>
                <w:lang w:val="de-DE"/>
              </w:rPr>
              <w:t>eine Situation, in der mehrere Diskriminierungsgründe gleichzeitig auf eine Weise miteinander interagieren, dass sie untrennbar werden und ihre Kombination einen neuen Grund schafft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1c und Begründungstext zur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14 von ECRI</w:t>
            </w:r>
            <w:r w:rsidR="00E76DF5">
              <w:rPr>
                <w:rFonts w:ascii="Arial" w:hAnsi="Arial" w:eastAsia="Arial" w:cs="Arial"/>
                <w:sz w:val="22"/>
                <w:szCs w:val="22"/>
                <w:bdr w:val="nil"/>
                <w:lang w:val="de-DE"/>
              </w:rPr>
              <w:t xml:space="preserve"> zur</w:t>
            </w:r>
            <w:r>
              <w:rPr>
                <w:rFonts w:ascii="Arial" w:hAnsi="Arial" w:eastAsia="Arial" w:cs="Arial"/>
                <w:sz w:val="22"/>
                <w:szCs w:val="22"/>
                <w:bdr w:val="nil"/>
                <w:lang w:val="de-DE"/>
              </w:rPr>
              <w:t xml:space="preserve"> Bekämpfung von Rassismus und Rassendiskriminierung in Beschäftigung und Beruf). Da die Mehrfach- und intersektion</w:t>
            </w:r>
            <w:r w:rsidR="00E76DF5">
              <w:rPr>
                <w:rFonts w:ascii="Arial" w:hAnsi="Arial" w:eastAsia="Arial" w:cs="Arial"/>
                <w:sz w:val="22"/>
                <w:szCs w:val="22"/>
                <w:bdr w:val="nil"/>
                <w:lang w:val="de-DE"/>
              </w:rPr>
              <w:t>el</w:t>
            </w:r>
            <w:r>
              <w:rPr>
                <w:rFonts w:ascii="Arial" w:hAnsi="Arial" w:eastAsia="Arial" w:cs="Arial"/>
                <w:sz w:val="22"/>
                <w:szCs w:val="22"/>
                <w:bdr w:val="nil"/>
                <w:lang w:val="de-DE"/>
              </w:rPr>
              <w:t>le Diskriminierung die Opfer häufig besonders schwer trifft und d</w:t>
            </w:r>
            <w:r w:rsidR="00613F0B">
              <w:rPr>
                <w:rFonts w:ascii="Arial" w:hAnsi="Arial" w:eastAsia="Arial" w:cs="Arial"/>
                <w:sz w:val="22"/>
                <w:szCs w:val="22"/>
                <w:bdr w:val="nil"/>
                <w:lang w:val="de-DE"/>
              </w:rPr>
              <w:t>a</w:t>
            </w:r>
            <w:r>
              <w:rPr>
                <w:rFonts w:ascii="Arial" w:hAnsi="Arial" w:eastAsia="Arial" w:cs="Arial"/>
                <w:sz w:val="22"/>
                <w:szCs w:val="22"/>
                <w:bdr w:val="nil"/>
                <w:lang w:val="de-DE"/>
              </w:rPr>
              <w:t xml:space="preserve"> Menschen an diesen Schnittpunkten besonders vielfältige Identität</w:t>
            </w:r>
            <w:r w:rsidR="00130FE4">
              <w:rPr>
                <w:rFonts w:ascii="Arial" w:hAnsi="Arial" w:eastAsia="Arial" w:cs="Arial"/>
                <w:sz w:val="22"/>
                <w:szCs w:val="22"/>
                <w:bdr w:val="nil"/>
                <w:lang w:val="de-DE"/>
              </w:rPr>
              <w:t>en</w:t>
            </w:r>
            <w:r>
              <w:rPr>
                <w:rFonts w:ascii="Arial" w:hAnsi="Arial" w:eastAsia="Arial" w:cs="Arial"/>
                <w:sz w:val="22"/>
                <w:szCs w:val="22"/>
                <w:bdr w:val="nil"/>
                <w:lang w:val="de-DE"/>
              </w:rPr>
              <w:t xml:space="preserve"> und Erfahrung</w:t>
            </w:r>
            <w:r w:rsidR="00130FE4">
              <w:rPr>
                <w:rFonts w:ascii="Arial" w:hAnsi="Arial" w:eastAsia="Arial" w:cs="Arial"/>
                <w:sz w:val="22"/>
                <w:szCs w:val="22"/>
                <w:bdr w:val="nil"/>
                <w:lang w:val="de-DE"/>
              </w:rPr>
              <w:t>en</w:t>
            </w:r>
            <w:r>
              <w:rPr>
                <w:rFonts w:ascii="Arial" w:hAnsi="Arial" w:eastAsia="Arial" w:cs="Arial"/>
                <w:sz w:val="22"/>
                <w:szCs w:val="22"/>
                <w:bdr w:val="nil"/>
                <w:lang w:val="de-DE"/>
              </w:rPr>
              <w:t xml:space="preserve"> </w:t>
            </w:r>
            <w:r w:rsidR="00130FE4">
              <w:rPr>
                <w:rFonts w:ascii="Arial" w:hAnsi="Arial" w:eastAsia="Arial" w:cs="Arial"/>
                <w:sz w:val="22"/>
                <w:szCs w:val="22"/>
                <w:bdr w:val="nil"/>
                <w:lang w:val="de-DE"/>
              </w:rPr>
              <w:t>haben</w:t>
            </w:r>
            <w:r>
              <w:rPr>
                <w:rFonts w:ascii="Arial" w:hAnsi="Arial" w:eastAsia="Arial" w:cs="Arial"/>
                <w:sz w:val="22"/>
                <w:szCs w:val="22"/>
                <w:bdr w:val="nil"/>
                <w:lang w:val="de-DE"/>
              </w:rPr>
              <w:t xml:space="preserve">,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diesen Themen besonderes Augenmerk widmen.</w:t>
            </w:r>
            <w:bookmarkEnd w:id="47"/>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sollten außerdem die Bedürfnisse von Kindern berücksichtigen, die Diskriminierung und Intoleranz ausgesetzt sind.</w:t>
            </w:r>
          </w:p>
          <w:p w:rsidRPr="006C29B1" w:rsidR="00DD016F" w:rsidP="004B73F0" w:rsidRDefault="0078680C" w14:paraId="51772BB4" w14:textId="4D2C40B5">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 xml:space="preserve">Definitionen unterschiedlicher Diskriminierungsgründe finden </w:t>
            </w:r>
            <w:r w:rsidR="00613F0B">
              <w:rPr>
                <w:rFonts w:ascii="Arial" w:hAnsi="Arial" w:eastAsia="Arial" w:cs="Arial"/>
                <w:sz w:val="22"/>
                <w:szCs w:val="22"/>
                <w:bdr w:val="nil"/>
                <w:lang w:val="de-DE"/>
              </w:rPr>
              <w:t>sich</w:t>
            </w:r>
            <w:r>
              <w:rPr>
                <w:rFonts w:ascii="Arial" w:hAnsi="Arial" w:eastAsia="Arial" w:cs="Arial"/>
                <w:sz w:val="22"/>
                <w:szCs w:val="22"/>
                <w:bdr w:val="nil"/>
                <w:lang w:val="de-DE"/>
              </w:rPr>
              <w:t xml:space="preserve"> in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7 des Begründungstextes zur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15 von ECRI</w:t>
            </w:r>
            <w:r w:rsidR="00613F0B">
              <w:rPr>
                <w:rFonts w:ascii="Arial" w:hAnsi="Arial" w:eastAsia="Arial" w:cs="Arial"/>
                <w:sz w:val="22"/>
                <w:szCs w:val="22"/>
                <w:bdr w:val="nil"/>
                <w:lang w:val="de-DE"/>
              </w:rPr>
              <w:t xml:space="preserve"> zur</w:t>
            </w:r>
            <w:r>
              <w:rPr>
                <w:rFonts w:ascii="Arial" w:hAnsi="Arial" w:eastAsia="Arial" w:cs="Arial"/>
                <w:sz w:val="22"/>
                <w:szCs w:val="22"/>
                <w:bdr w:val="nil"/>
                <w:lang w:val="de-DE"/>
              </w:rPr>
              <w:t xml:space="preserve"> Bekämpfung von Hassrede. </w:t>
            </w:r>
          </w:p>
        </w:tc>
      </w:tr>
      <w:tr w:rsidRPr="00046FAE" w:rsidR="00D8651C" w:rsidTr="00C0685F" w14:paraId="5BFF297F" w14:textId="77777777">
        <w:trPr>
          <w:gridAfter w:val="1"/>
          <w:wAfter w:w="649" w:type="dxa"/>
        </w:trPr>
        <w:tc>
          <w:tcPr>
            <w:tcW w:w="0" w:type="auto"/>
          </w:tcPr>
          <w:p w:rsidRPr="006C29B1" w:rsidR="00DD016F" w:rsidP="004B73F0" w:rsidRDefault="00781974" w14:paraId="4590B867" w14:textId="61621A9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bookmarkStart w:name="_Ref476133708" w:id="48"/>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sollten den gesamten öffentlichen und privaten Sektor abdecken, einschließlich der Strafverfolgung (siehe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7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 7 von ECRI). Allerdings decken viele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insbesondere jene, die unter den EU-Gleich</w:t>
            </w:r>
            <w:r w:rsidR="00130FE4">
              <w:rPr>
                <w:rFonts w:ascii="Arial" w:hAnsi="Arial" w:eastAsia="Arial" w:cs="Arial"/>
                <w:sz w:val="22"/>
                <w:szCs w:val="22"/>
                <w:bdr w:val="nil"/>
                <w:lang w:val="de-DE"/>
              </w:rPr>
              <w:t>behandlungs</w:t>
            </w:r>
            <w:r w:rsidR="0078680C">
              <w:rPr>
                <w:rFonts w:ascii="Arial" w:hAnsi="Arial" w:eastAsia="Arial" w:cs="Arial"/>
                <w:sz w:val="22"/>
                <w:szCs w:val="22"/>
                <w:bdr w:val="nil"/>
                <w:lang w:val="de-DE"/>
              </w:rPr>
              <w:t xml:space="preserve">richtlinien eingerichtet wurden, nicht den gesamten öffentlichen Sektor ab, und haben z. B. keine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 in Bezug auf </w:t>
            </w:r>
            <w:r w:rsidR="00130FE4">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Polizei</w:t>
            </w:r>
            <w:r w:rsidR="00130FE4">
              <w:rPr>
                <w:rFonts w:ascii="Arial" w:hAnsi="Arial" w:eastAsia="Arial" w:cs="Arial"/>
                <w:sz w:val="22"/>
                <w:szCs w:val="22"/>
                <w:bdr w:val="nil"/>
                <w:lang w:val="de-DE"/>
              </w:rPr>
              <w:t>arbeit</w:t>
            </w:r>
            <w:r w:rsidR="0078680C">
              <w:rPr>
                <w:rFonts w:ascii="Arial" w:hAnsi="Arial" w:eastAsia="Arial" w:cs="Arial"/>
                <w:sz w:val="22"/>
                <w:szCs w:val="22"/>
                <w:bdr w:val="nil"/>
                <w:lang w:val="de-DE"/>
              </w:rPr>
              <w:t xml:space="preserve"> (siehe die Allgemeine </w:t>
            </w:r>
            <w:r w:rsidR="002A166A">
              <w:rPr>
                <w:rFonts w:ascii="Arial" w:hAnsi="Arial" w:eastAsia="Arial" w:cs="Arial"/>
                <w:sz w:val="22"/>
                <w:szCs w:val="22"/>
                <w:bdr w:val="nil"/>
                <w:lang w:val="de-DE"/>
              </w:rPr>
              <w:t>Politikempfehlung</w:t>
            </w:r>
            <w:r w:rsidR="0078680C">
              <w:rPr>
                <w:rFonts w:ascii="Arial" w:hAnsi="Arial" w:eastAsia="Arial" w:cs="Arial"/>
                <w:sz w:val="22"/>
                <w:szCs w:val="22"/>
                <w:bdr w:val="nil"/>
                <w:lang w:val="de-DE"/>
              </w:rPr>
              <w:t xml:space="preserve"> Nr. 11 von ECRI</w:t>
            </w:r>
            <w:r w:rsidR="00130FE4">
              <w:rPr>
                <w:rFonts w:ascii="Arial" w:hAnsi="Arial" w:eastAsia="Arial" w:cs="Arial"/>
                <w:sz w:val="22"/>
                <w:szCs w:val="22"/>
                <w:bdr w:val="nil"/>
                <w:lang w:val="de-DE"/>
              </w:rPr>
              <w:t xml:space="preserve"> zur</w:t>
            </w:r>
            <w:r w:rsidR="0078680C">
              <w:rPr>
                <w:rFonts w:ascii="Arial" w:hAnsi="Arial" w:eastAsia="Arial" w:cs="Arial"/>
                <w:sz w:val="22"/>
                <w:szCs w:val="22"/>
                <w:bdr w:val="nil"/>
                <w:lang w:val="de-DE"/>
              </w:rPr>
              <w:t xml:space="preserve"> Bekämpfung von Rassismus und Rassendiskriminierung in der Polizeiarbeit), Justizvollzugsanstalten und </w:t>
            </w:r>
            <w:r w:rsidR="00130FE4">
              <w:rPr>
                <w:rFonts w:ascii="Arial" w:hAnsi="Arial" w:eastAsia="Arial" w:cs="Arial"/>
                <w:sz w:val="22"/>
                <w:szCs w:val="22"/>
                <w:bdr w:val="nil"/>
                <w:lang w:val="de-DE"/>
              </w:rPr>
              <w:t xml:space="preserve">das </w:t>
            </w:r>
            <w:r w:rsidR="0078680C">
              <w:rPr>
                <w:rFonts w:ascii="Arial" w:hAnsi="Arial" w:eastAsia="Arial" w:cs="Arial"/>
                <w:sz w:val="22"/>
                <w:szCs w:val="22"/>
                <w:bdr w:val="nil"/>
                <w:lang w:val="de-DE"/>
              </w:rPr>
              <w:t xml:space="preserve">Militär. Ihr Mandat sollte ausgeweitet werden oder </w:t>
            </w:r>
            <w:r w:rsidR="00130FE4">
              <w:rPr>
                <w:rFonts w:ascii="Arial" w:hAnsi="Arial" w:eastAsia="Arial" w:cs="Arial"/>
                <w:sz w:val="22"/>
                <w:szCs w:val="22"/>
                <w:bdr w:val="nil"/>
                <w:lang w:val="de-DE"/>
              </w:rPr>
              <w:t xml:space="preserve">das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smandat </w:t>
            </w:r>
            <w:r w:rsidR="00130FE4">
              <w:rPr>
                <w:rFonts w:ascii="Arial" w:hAnsi="Arial" w:eastAsia="Arial" w:cs="Arial"/>
                <w:sz w:val="22"/>
                <w:szCs w:val="22"/>
                <w:bdr w:val="nil"/>
                <w:lang w:val="de-DE"/>
              </w:rPr>
              <w:t xml:space="preserve">sollte </w:t>
            </w:r>
            <w:r w:rsidR="0078680C">
              <w:rPr>
                <w:rFonts w:ascii="Arial" w:hAnsi="Arial" w:eastAsia="Arial" w:cs="Arial"/>
                <w:sz w:val="22"/>
                <w:szCs w:val="22"/>
                <w:bdr w:val="nil"/>
                <w:lang w:val="de-DE"/>
              </w:rPr>
              <w:t xml:space="preserve">für diese Bereiche </w:t>
            </w:r>
            <w:r w:rsidR="00130FE4">
              <w:rPr>
                <w:rFonts w:ascii="Arial" w:hAnsi="Arial" w:eastAsia="Arial" w:cs="Arial"/>
                <w:sz w:val="22"/>
                <w:szCs w:val="22"/>
                <w:bdr w:val="nil"/>
                <w:lang w:val="de-DE"/>
              </w:rPr>
              <w:t xml:space="preserve">einer anderen unabhängigen Institution </w:t>
            </w:r>
            <w:r w:rsidR="0078680C">
              <w:rPr>
                <w:rFonts w:ascii="Arial" w:hAnsi="Arial" w:eastAsia="Arial" w:cs="Arial"/>
                <w:sz w:val="22"/>
                <w:szCs w:val="22"/>
                <w:bdr w:val="nil"/>
                <w:lang w:val="de-DE"/>
              </w:rPr>
              <w:t>übertragen werden, z. B. einer nationalen Menschenrechtsinstitution oder einer Ombudsperson.</w:t>
            </w:r>
            <w:bookmarkEnd w:id="48"/>
          </w:p>
        </w:tc>
      </w:tr>
      <w:tr w:rsidRPr="00046FAE" w:rsidR="00D8651C" w:rsidTr="00C0685F" w14:paraId="6932E3AA" w14:textId="77777777">
        <w:trPr>
          <w:gridAfter w:val="1"/>
          <w:wAfter w:w="649" w:type="dxa"/>
        </w:trPr>
        <w:tc>
          <w:tcPr>
            <w:tcW w:w="0" w:type="auto"/>
          </w:tcPr>
          <w:p w:rsidRPr="006C29B1" w:rsidR="00DD016F" w:rsidP="004B73F0" w:rsidRDefault="0078680C" w14:paraId="66E7E46C" w14:textId="09244F9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Es sollte eine </w:t>
            </w:r>
            <w:r w:rsidR="00130FE4">
              <w:rPr>
                <w:rFonts w:ascii="Arial" w:hAnsi="Arial" w:eastAsia="Arial" w:cs="Arial"/>
                <w:sz w:val="22"/>
                <w:szCs w:val="22"/>
                <w:bdr w:val="nil"/>
                <w:lang w:val="de-DE"/>
              </w:rPr>
              <w:t>konsistente</w:t>
            </w:r>
            <w:r>
              <w:rPr>
                <w:rFonts w:ascii="Arial" w:hAnsi="Arial" w:eastAsia="Arial" w:cs="Arial"/>
                <w:sz w:val="22"/>
                <w:szCs w:val="22"/>
                <w:bdr w:val="nil"/>
                <w:lang w:val="de-DE"/>
              </w:rPr>
              <w:t xml:space="preserve"> und </w:t>
            </w:r>
            <w:r w:rsidR="00130FE4">
              <w:rPr>
                <w:rFonts w:ascii="Arial" w:hAnsi="Arial" w:eastAsia="Arial" w:cs="Arial"/>
                <w:sz w:val="22"/>
                <w:szCs w:val="22"/>
                <w:bdr w:val="nil"/>
                <w:lang w:val="de-DE"/>
              </w:rPr>
              <w:t>kohärente</w:t>
            </w:r>
            <w:r>
              <w:rPr>
                <w:rFonts w:ascii="Arial" w:hAnsi="Arial" w:eastAsia="Arial" w:cs="Arial"/>
                <w:sz w:val="22"/>
                <w:szCs w:val="22"/>
                <w:bdr w:val="nil"/>
                <w:lang w:val="de-DE"/>
              </w:rPr>
              <w:t xml:space="preserve"> Abdeckung aller Regionen des Mitgliedstaates geben, insbesondere in jenen mit föderaler Struktur, und es </w:t>
            </w:r>
            <w:r w:rsidR="00130FE4">
              <w:rPr>
                <w:rFonts w:ascii="Arial" w:hAnsi="Arial" w:eastAsia="Arial" w:cs="Arial"/>
                <w:sz w:val="22"/>
                <w:szCs w:val="22"/>
                <w:bdr w:val="nil"/>
                <w:lang w:val="de-DE"/>
              </w:rPr>
              <w:t xml:space="preserve">sollte </w:t>
            </w:r>
            <w:r>
              <w:rPr>
                <w:rFonts w:ascii="Arial" w:hAnsi="Arial" w:eastAsia="Arial" w:cs="Arial"/>
                <w:sz w:val="22"/>
                <w:szCs w:val="22"/>
                <w:bdr w:val="nil"/>
                <w:lang w:val="de-DE"/>
              </w:rPr>
              <w:t xml:space="preserve">keine Gebiete ohne </w:t>
            </w:r>
            <w:r w:rsidR="00130FE4">
              <w:rPr>
                <w:rFonts w:ascii="Arial" w:hAnsi="Arial" w:eastAsia="Arial" w:cs="Arial"/>
                <w:sz w:val="22"/>
                <w:szCs w:val="22"/>
                <w:bdr w:val="nil"/>
                <w:lang w:val="de-DE"/>
              </w:rPr>
              <w:t>Abdeckung durch eine</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geben. Das Mandat sollte</w:t>
            </w:r>
            <w:r w:rsidR="00130FE4">
              <w:rPr>
                <w:rFonts w:ascii="Arial" w:hAnsi="Arial" w:eastAsia="Arial" w:cs="Arial"/>
                <w:sz w:val="22"/>
                <w:szCs w:val="22"/>
                <w:bdr w:val="nil"/>
                <w:lang w:val="de-DE"/>
              </w:rPr>
              <w:t xml:space="preserve"> gegebenenfalls</w:t>
            </w:r>
            <w:r>
              <w:rPr>
                <w:rFonts w:ascii="Arial" w:hAnsi="Arial" w:eastAsia="Arial" w:cs="Arial"/>
                <w:sz w:val="22"/>
                <w:szCs w:val="22"/>
                <w:bdr w:val="nil"/>
                <w:lang w:val="de-DE"/>
              </w:rPr>
              <w:t xml:space="preserve"> auch bestimmte Personen außerhalb des Landes einschließen, z. B. Bürger, die im Ausland leben, oder Menschen, die </w:t>
            </w:r>
            <w:r w:rsidR="00130FE4">
              <w:rPr>
                <w:rFonts w:ascii="Arial" w:hAnsi="Arial" w:eastAsia="Arial" w:cs="Arial"/>
                <w:sz w:val="22"/>
                <w:szCs w:val="22"/>
                <w:bdr w:val="nil"/>
                <w:lang w:val="de-DE"/>
              </w:rPr>
              <w:t xml:space="preserve">von außerhalb des Landes </w:t>
            </w:r>
            <w:r>
              <w:rPr>
                <w:rFonts w:ascii="Arial" w:hAnsi="Arial" w:eastAsia="Arial" w:cs="Arial"/>
                <w:sz w:val="22"/>
                <w:szCs w:val="22"/>
                <w:bdr w:val="nil"/>
                <w:lang w:val="de-DE"/>
              </w:rPr>
              <w:t xml:space="preserve">Asyl beantragen. </w:t>
            </w:r>
          </w:p>
        </w:tc>
      </w:tr>
      <w:tr w:rsidR="00D8651C" w:rsidTr="00C0685F" w14:paraId="345C8E2C" w14:textId="77777777">
        <w:trPr>
          <w:gridAfter w:val="1"/>
          <w:wAfter w:w="649" w:type="dxa"/>
        </w:trPr>
        <w:tc>
          <w:tcPr>
            <w:tcW w:w="0" w:type="auto"/>
          </w:tcPr>
          <w:p w:rsidRPr="006353CB" w:rsidR="00DD016F" w:rsidP="004B73F0" w:rsidRDefault="0078680C" w14:paraId="6054E831" w14:textId="77777777">
            <w:pPr>
              <w:pStyle w:val="berschrift11"/>
              <w:numPr>
                <w:ilvl w:val="0"/>
                <w:numId w:val="30"/>
              </w:numPr>
              <w:spacing w:before="100" w:beforeAutospacing="1" w:after="100" w:afterAutospacing="1" w:line="240" w:lineRule="exact"/>
              <w:ind w:left="743"/>
              <w:rPr>
                <w:rFonts w:ascii="Arial" w:hAnsi="Arial" w:cs="Arial"/>
                <w:szCs w:val="22"/>
              </w:rPr>
            </w:pPr>
            <w:r>
              <w:rPr>
                <w:rFonts w:ascii="Arial" w:hAnsi="Arial" w:eastAsia="Arial" w:cs="Arial"/>
                <w:bCs/>
                <w:szCs w:val="22"/>
                <w:bdr w:val="nil"/>
                <w:lang w:val="de-DE"/>
              </w:rPr>
              <w:t>Institutioneller Aufbau</w:t>
            </w:r>
          </w:p>
        </w:tc>
      </w:tr>
      <w:tr w:rsidRPr="00C0685F" w:rsidR="00D8651C" w:rsidTr="00C0685F" w14:paraId="14DD935D" w14:textId="77777777">
        <w:trPr>
          <w:gridAfter w:val="1"/>
          <w:wAfter w:w="649" w:type="dxa"/>
        </w:trPr>
        <w:tc>
          <w:tcPr>
            <w:tcW w:w="0" w:type="auto"/>
          </w:tcPr>
          <w:p w:rsidRPr="006353CB" w:rsidR="00DD016F" w:rsidP="004B73F0" w:rsidRDefault="00D4725B" w14:paraId="5DC6F6D0" w14:textId="4535BEFE">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_Ref486587182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5</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_Ref486587196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9</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4B73F0" w:rsidRDefault="0078680C" w14:paraId="34F778AF" w14:textId="4430A26B">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In den letzten Jahrzehnten ist in den 47 Mitgliedstaaten ein </w:t>
            </w:r>
            <w:r w:rsidR="00130FE4">
              <w:rPr>
                <w:rFonts w:ascii="Arial" w:hAnsi="Arial" w:eastAsia="Arial" w:cs="Arial"/>
                <w:sz w:val="22"/>
                <w:szCs w:val="22"/>
                <w:bdr w:val="nil"/>
                <w:lang w:val="de-DE"/>
              </w:rPr>
              <w:t xml:space="preserve">reichhaltiges und </w:t>
            </w:r>
            <w:r>
              <w:rPr>
                <w:rFonts w:ascii="Arial" w:hAnsi="Arial" w:eastAsia="Arial" w:cs="Arial"/>
                <w:sz w:val="22"/>
                <w:szCs w:val="22"/>
                <w:bdr w:val="nil"/>
                <w:lang w:val="de-DE"/>
              </w:rPr>
              <w:t xml:space="preserve">vielfältiges System aus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entstanden. </w:t>
            </w:r>
            <w:r w:rsidR="001D3B56">
              <w:rPr>
                <w:rFonts w:ascii="Arial" w:hAnsi="Arial" w:eastAsia="Arial" w:cs="Arial"/>
                <w:sz w:val="22"/>
                <w:szCs w:val="22"/>
                <w:bdr w:val="nil"/>
                <w:lang w:val="de-DE"/>
              </w:rPr>
              <w:t>Einzelheiten dazu</w:t>
            </w:r>
            <w:r>
              <w:rPr>
                <w:rFonts w:ascii="Arial" w:hAnsi="Arial" w:eastAsia="Arial" w:cs="Arial"/>
                <w:sz w:val="22"/>
                <w:szCs w:val="22"/>
                <w:bdr w:val="nil"/>
                <w:lang w:val="de-DE"/>
              </w:rPr>
              <w:t xml:space="preserve"> sind in den Länder</w:t>
            </w:r>
            <w:r w:rsidR="001D3B56">
              <w:rPr>
                <w:rFonts w:ascii="Arial" w:hAnsi="Arial" w:eastAsia="Arial" w:cs="Arial"/>
                <w:sz w:val="22"/>
                <w:szCs w:val="22"/>
                <w:bdr w:val="nil"/>
                <w:lang w:val="de-DE"/>
              </w:rPr>
              <w:t>b</w:t>
            </w:r>
            <w:r>
              <w:rPr>
                <w:rFonts w:ascii="Arial" w:hAnsi="Arial" w:eastAsia="Arial" w:cs="Arial"/>
                <w:sz w:val="22"/>
                <w:szCs w:val="22"/>
                <w:bdr w:val="nil"/>
                <w:lang w:val="de-DE"/>
              </w:rPr>
              <w:t xml:space="preserve">erichten </w:t>
            </w:r>
            <w:r w:rsidR="001D3B56">
              <w:rPr>
                <w:rFonts w:ascii="Arial" w:hAnsi="Arial" w:eastAsia="Arial" w:cs="Arial"/>
                <w:sz w:val="22"/>
                <w:szCs w:val="22"/>
                <w:bdr w:val="nil"/>
                <w:lang w:val="de-DE"/>
              </w:rPr>
              <w:t xml:space="preserve">der </w:t>
            </w:r>
            <w:r>
              <w:rPr>
                <w:rFonts w:ascii="Arial" w:hAnsi="Arial" w:eastAsia="Arial" w:cs="Arial"/>
                <w:sz w:val="22"/>
                <w:szCs w:val="22"/>
                <w:bdr w:val="nil"/>
                <w:lang w:val="de-DE"/>
              </w:rPr>
              <w:t xml:space="preserve">ECRI dokumentiert. </w:t>
            </w:r>
          </w:p>
        </w:tc>
      </w:tr>
      <w:tr w:rsidRPr="00046FAE" w:rsidR="00D8651C" w:rsidTr="00C0685F" w14:paraId="0F389E33" w14:textId="77777777">
        <w:trPr>
          <w:gridAfter w:val="1"/>
          <w:wAfter w:w="649" w:type="dxa"/>
        </w:trPr>
        <w:tc>
          <w:tcPr>
            <w:tcW w:w="0" w:type="auto"/>
          </w:tcPr>
          <w:p w:rsidRPr="006C29B1" w:rsidR="00DD016F" w:rsidP="004B73F0" w:rsidRDefault="0078680C" w14:paraId="136B1CB2" w14:textId="41EC359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 einigen Mitgliedstaaten wurde eine </w:t>
            </w:r>
            <w:r w:rsidR="001D3B56">
              <w:rPr>
                <w:rFonts w:ascii="Arial" w:hAnsi="Arial" w:eastAsia="Arial" w:cs="Arial"/>
                <w:sz w:val="22"/>
                <w:szCs w:val="22"/>
                <w:bdr w:val="nil"/>
                <w:lang w:val="de-DE"/>
              </w:rPr>
              <w:t xml:space="preserve">einzige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eingerichtet, die mehrere Diskriminierungsgründe abdeckt, in anderen hingegen mehrere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die </w:t>
            </w:r>
            <w:r w:rsidR="001D3B56">
              <w:rPr>
                <w:rFonts w:ascii="Arial" w:hAnsi="Arial" w:eastAsia="Arial" w:cs="Arial"/>
                <w:sz w:val="22"/>
                <w:szCs w:val="22"/>
                <w:bdr w:val="nil"/>
                <w:lang w:val="de-DE"/>
              </w:rPr>
              <w:t xml:space="preserve">für </w:t>
            </w:r>
            <w:r>
              <w:rPr>
                <w:rFonts w:ascii="Arial" w:hAnsi="Arial" w:eastAsia="Arial" w:cs="Arial"/>
                <w:sz w:val="22"/>
                <w:szCs w:val="22"/>
                <w:bdr w:val="nil"/>
                <w:lang w:val="de-DE"/>
              </w:rPr>
              <w:t xml:space="preserve">einen einzelnen oder mehrere Gründe </w:t>
            </w:r>
            <w:r w:rsidR="001D3B56">
              <w:rPr>
                <w:rFonts w:ascii="Arial" w:hAnsi="Arial" w:eastAsia="Arial" w:cs="Arial"/>
                <w:sz w:val="22"/>
                <w:szCs w:val="22"/>
                <w:bdr w:val="nil"/>
                <w:lang w:val="de-DE"/>
              </w:rPr>
              <w:t>zuständig sind</w:t>
            </w:r>
            <w:r>
              <w:rPr>
                <w:rFonts w:ascii="Arial" w:hAnsi="Arial" w:eastAsia="Arial" w:cs="Arial"/>
                <w:sz w:val="22"/>
                <w:szCs w:val="22"/>
                <w:bdr w:val="nil"/>
                <w:lang w:val="de-DE"/>
              </w:rPr>
              <w:t xml:space="preserve">. </w:t>
            </w:r>
            <w:r w:rsidR="00130FE4">
              <w:rPr>
                <w:rFonts w:ascii="Arial" w:hAnsi="Arial" w:eastAsia="Arial" w:cs="Arial"/>
                <w:sz w:val="22"/>
                <w:szCs w:val="22"/>
                <w:bdr w:val="nil"/>
                <w:lang w:val="de-DE"/>
              </w:rPr>
              <w:t>In allen Fällen ist es wichtig</w:t>
            </w:r>
            <w:r w:rsidR="001D3B56">
              <w:rPr>
                <w:rFonts w:ascii="Arial" w:hAnsi="Arial" w:eastAsia="Arial" w:cs="Arial"/>
                <w:sz w:val="22"/>
                <w:szCs w:val="22"/>
                <w:bdr w:val="nil"/>
                <w:lang w:val="de-DE"/>
              </w:rPr>
              <w:t>,</w:t>
            </w:r>
            <w:r>
              <w:rPr>
                <w:rFonts w:ascii="Arial" w:hAnsi="Arial" w:eastAsia="Arial" w:cs="Arial"/>
                <w:sz w:val="22"/>
                <w:szCs w:val="22"/>
                <w:bdr w:val="nil"/>
                <w:lang w:val="de-DE"/>
              </w:rPr>
              <w:t xml:space="preserve"> das Entstehen einer Hierarchie </w:t>
            </w:r>
            <w:r w:rsidR="00130FE4">
              <w:rPr>
                <w:rFonts w:ascii="Arial" w:hAnsi="Arial" w:eastAsia="Arial" w:cs="Arial"/>
                <w:sz w:val="22"/>
                <w:szCs w:val="22"/>
                <w:bdr w:val="nil"/>
                <w:lang w:val="de-DE"/>
              </w:rPr>
              <w:t>zwischen</w:t>
            </w:r>
            <w:r>
              <w:rPr>
                <w:rFonts w:ascii="Arial" w:hAnsi="Arial" w:eastAsia="Arial" w:cs="Arial"/>
                <w:sz w:val="22"/>
                <w:szCs w:val="22"/>
                <w:bdr w:val="nil"/>
                <w:lang w:val="de-DE"/>
              </w:rPr>
              <w:t xml:space="preserve"> einzelnen Diskriminierungsgründe</w:t>
            </w:r>
            <w:r w:rsidR="00130FE4">
              <w:rPr>
                <w:rFonts w:ascii="Arial" w:hAnsi="Arial" w:eastAsia="Arial" w:cs="Arial"/>
                <w:sz w:val="22"/>
                <w:szCs w:val="22"/>
                <w:bdr w:val="nil"/>
                <w:lang w:val="de-DE"/>
              </w:rPr>
              <w:t>n zu</w:t>
            </w:r>
            <w:r>
              <w:rPr>
                <w:rFonts w:ascii="Arial" w:hAnsi="Arial" w:eastAsia="Arial" w:cs="Arial"/>
                <w:sz w:val="22"/>
                <w:szCs w:val="22"/>
                <w:bdr w:val="nil"/>
                <w:lang w:val="de-DE"/>
              </w:rPr>
              <w:t xml:space="preserve"> verme</w:t>
            </w:r>
            <w:r w:rsidR="001D3B56">
              <w:rPr>
                <w:rFonts w:ascii="Arial" w:hAnsi="Arial" w:eastAsia="Arial" w:cs="Arial"/>
                <w:sz w:val="22"/>
                <w:szCs w:val="22"/>
                <w:bdr w:val="nil"/>
                <w:lang w:val="de-DE"/>
              </w:rPr>
              <w:t>i</w:t>
            </w:r>
            <w:r>
              <w:rPr>
                <w:rFonts w:ascii="Arial" w:hAnsi="Arial" w:eastAsia="Arial" w:cs="Arial"/>
                <w:sz w:val="22"/>
                <w:szCs w:val="22"/>
                <w:bdr w:val="nil"/>
                <w:lang w:val="de-DE"/>
              </w:rPr>
              <w:t>den und sicher</w:t>
            </w:r>
            <w:r w:rsidR="00130FE4">
              <w:rPr>
                <w:rFonts w:ascii="Arial" w:hAnsi="Arial" w:eastAsia="Arial" w:cs="Arial"/>
                <w:sz w:val="22"/>
                <w:szCs w:val="22"/>
                <w:bdr w:val="nil"/>
                <w:lang w:val="de-DE"/>
              </w:rPr>
              <w:t>zus</w:t>
            </w:r>
            <w:r>
              <w:rPr>
                <w:rFonts w:ascii="Arial" w:hAnsi="Arial" w:eastAsia="Arial" w:cs="Arial"/>
                <w:sz w:val="22"/>
                <w:szCs w:val="22"/>
                <w:bdr w:val="nil"/>
                <w:lang w:val="de-DE"/>
              </w:rPr>
              <w:t>tellen, dass jedem Grund sowie de</w:t>
            </w:r>
            <w:r w:rsidR="00130FE4">
              <w:rPr>
                <w:rFonts w:ascii="Arial" w:hAnsi="Arial" w:eastAsia="Arial" w:cs="Arial"/>
                <w:sz w:val="22"/>
                <w:szCs w:val="22"/>
                <w:bdr w:val="nil"/>
                <w:lang w:val="de-DE"/>
              </w:rPr>
              <w:t>n</w:t>
            </w:r>
            <w:r>
              <w:rPr>
                <w:rFonts w:ascii="Arial" w:hAnsi="Arial" w:eastAsia="Arial" w:cs="Arial"/>
                <w:sz w:val="22"/>
                <w:szCs w:val="22"/>
                <w:bdr w:val="nil"/>
                <w:lang w:val="de-DE"/>
              </w:rPr>
              <w:t xml:space="preserve"> </w:t>
            </w:r>
            <w:r w:rsidR="00130FE4">
              <w:rPr>
                <w:rFonts w:ascii="Arial" w:hAnsi="Arial" w:eastAsia="Arial" w:cs="Arial"/>
                <w:sz w:val="22"/>
                <w:szCs w:val="22"/>
                <w:bdr w:val="nil"/>
                <w:lang w:val="de-DE"/>
              </w:rPr>
              <w:t xml:space="preserve">Schnittpunkten </w:t>
            </w:r>
            <w:r>
              <w:rPr>
                <w:rFonts w:ascii="Arial" w:hAnsi="Arial" w:eastAsia="Arial" w:cs="Arial"/>
                <w:sz w:val="22"/>
                <w:szCs w:val="22"/>
                <w:bdr w:val="nil"/>
                <w:lang w:val="de-DE"/>
              </w:rPr>
              <w:t xml:space="preserve">zwischen </w:t>
            </w:r>
            <w:r w:rsidR="00130FE4">
              <w:rPr>
                <w:rFonts w:ascii="Arial" w:hAnsi="Arial" w:eastAsia="Arial" w:cs="Arial"/>
                <w:sz w:val="22"/>
                <w:szCs w:val="22"/>
                <w:bdr w:val="nil"/>
                <w:lang w:val="de-DE"/>
              </w:rPr>
              <w:t>ihnen</w:t>
            </w:r>
            <w:r>
              <w:rPr>
                <w:rFonts w:ascii="Arial" w:hAnsi="Arial" w:eastAsia="Arial" w:cs="Arial"/>
                <w:sz w:val="22"/>
                <w:szCs w:val="22"/>
                <w:bdr w:val="nil"/>
                <w:lang w:val="de-DE"/>
              </w:rPr>
              <w:t xml:space="preserve"> ausreichend Aufmerksamkeit gewidmet und angemessene Ressourcen zugeteilt werden.</w:t>
            </w:r>
          </w:p>
        </w:tc>
      </w:tr>
      <w:tr w:rsidRPr="00046FAE" w:rsidR="00D8651C" w:rsidTr="00C0685F" w14:paraId="47147BD1" w14:textId="77777777">
        <w:trPr>
          <w:gridAfter w:val="1"/>
          <w:wAfter w:w="649" w:type="dxa"/>
        </w:trPr>
        <w:tc>
          <w:tcPr>
            <w:tcW w:w="0" w:type="auto"/>
          </w:tcPr>
          <w:p w:rsidRPr="006C29B1" w:rsidR="00DD016F" w:rsidP="004B73F0" w:rsidRDefault="0078680C" w14:paraId="0A19D396" w14:textId="10581009">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Ei</w:t>
            </w:r>
            <w:r w:rsidR="00130FE4">
              <w:rPr>
                <w:rFonts w:ascii="Arial" w:hAnsi="Arial" w:eastAsia="Arial" w:cs="Arial"/>
                <w:sz w:val="22"/>
                <w:szCs w:val="22"/>
                <w:bdr w:val="nil"/>
                <w:lang w:val="de-DE"/>
              </w:rPr>
              <w:t>genständige</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haben den Vorteil, sich auf ihr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smandat konzentrieren zu können, über ein ausgewiesenes Budget für Gleich</w:t>
            </w:r>
            <w:r w:rsidR="00130FE4">
              <w:rPr>
                <w:rFonts w:ascii="Arial" w:hAnsi="Arial" w:eastAsia="Arial" w:cs="Arial"/>
                <w:sz w:val="22"/>
                <w:szCs w:val="22"/>
                <w:bdr w:val="nil"/>
                <w:lang w:val="de-DE"/>
              </w:rPr>
              <w:t>heits</w:t>
            </w:r>
            <w:r>
              <w:rPr>
                <w:rFonts w:ascii="Arial" w:hAnsi="Arial" w:eastAsia="Arial" w:cs="Arial"/>
                <w:sz w:val="22"/>
                <w:szCs w:val="22"/>
                <w:bdr w:val="nil"/>
                <w:lang w:val="de-DE"/>
              </w:rPr>
              <w:t xml:space="preserve">fragen zu verfügen und besondere Fachkenntnisse und </w:t>
            </w:r>
            <w:r w:rsidR="00E0416B">
              <w:rPr>
                <w:rFonts w:ascii="Arial" w:hAnsi="Arial" w:eastAsia="Arial" w:cs="Arial"/>
                <w:sz w:val="22"/>
                <w:szCs w:val="22"/>
                <w:bdr w:val="nil"/>
                <w:lang w:val="de-DE"/>
              </w:rPr>
              <w:t>Sichtbarkeit</w:t>
            </w:r>
            <w:r w:rsidR="009B200A">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im Bereich </w:t>
            </w:r>
            <w:r w:rsidR="008F4296">
              <w:rPr>
                <w:rFonts w:ascii="Arial" w:hAnsi="Arial" w:eastAsia="Arial" w:cs="Arial"/>
                <w:sz w:val="22"/>
                <w:szCs w:val="22"/>
                <w:bdr w:val="nil"/>
                <w:lang w:val="de-DE"/>
              </w:rPr>
              <w:t>Gleichheit</w:t>
            </w:r>
            <w:r>
              <w:rPr>
                <w:rFonts w:ascii="Arial" w:hAnsi="Arial" w:eastAsia="Arial" w:cs="Arial"/>
                <w:sz w:val="22"/>
                <w:szCs w:val="22"/>
                <w:bdr w:val="nil"/>
                <w:lang w:val="de-DE"/>
              </w:rPr>
              <w:t xml:space="preserve"> </w:t>
            </w:r>
            <w:r w:rsidR="001D3B56">
              <w:rPr>
                <w:rFonts w:ascii="Arial" w:hAnsi="Arial" w:eastAsia="Arial" w:cs="Arial"/>
                <w:sz w:val="22"/>
                <w:szCs w:val="22"/>
                <w:bdr w:val="nil"/>
                <w:lang w:val="de-DE"/>
              </w:rPr>
              <w:t>aufbauen</w:t>
            </w:r>
            <w:r w:rsidR="00E3434C">
              <w:rPr>
                <w:rFonts w:ascii="Arial" w:hAnsi="Arial" w:eastAsia="Arial" w:cs="Arial"/>
                <w:sz w:val="22"/>
                <w:szCs w:val="22"/>
                <w:bdr w:val="nil"/>
                <w:lang w:val="de-DE"/>
              </w:rPr>
              <w:t xml:space="preserve"> zu können</w:t>
            </w:r>
            <w:r>
              <w:rPr>
                <w:rFonts w:ascii="Arial" w:hAnsi="Arial" w:eastAsia="Arial" w:cs="Arial"/>
                <w:sz w:val="22"/>
                <w:szCs w:val="22"/>
                <w:bdr w:val="nil"/>
                <w:lang w:val="de-DE"/>
              </w:rPr>
              <w:t>.</w:t>
            </w:r>
          </w:p>
          <w:p w:rsidRPr="006C29B1" w:rsidR="00DD016F" w:rsidP="004B73F0" w:rsidRDefault="0078680C" w14:paraId="1BD6D8CB" w14:textId="3DC97CD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 einigen Mitgliedstaaten wurde das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 xml:space="preserve">smandat einer Institution </w:t>
            </w:r>
            <w:r w:rsidR="00E3434C">
              <w:rPr>
                <w:rFonts w:ascii="Arial" w:hAnsi="Arial" w:eastAsia="Arial" w:cs="Arial"/>
                <w:sz w:val="22"/>
                <w:szCs w:val="22"/>
                <w:bdr w:val="nil"/>
                <w:lang w:val="de-DE"/>
              </w:rPr>
              <w:t xml:space="preserve">mit mehreren Mandaten </w:t>
            </w:r>
            <w:r>
              <w:rPr>
                <w:rFonts w:ascii="Arial" w:hAnsi="Arial" w:eastAsia="Arial" w:cs="Arial"/>
                <w:sz w:val="22"/>
                <w:szCs w:val="22"/>
                <w:bdr w:val="nil"/>
                <w:lang w:val="de-DE"/>
              </w:rPr>
              <w:t xml:space="preserve">übertragen, die auch </w:t>
            </w:r>
            <w:r w:rsidR="00E3434C">
              <w:rPr>
                <w:rFonts w:ascii="Arial" w:hAnsi="Arial" w:eastAsia="Arial" w:cs="Arial"/>
                <w:sz w:val="22"/>
                <w:szCs w:val="22"/>
                <w:bdr w:val="nil"/>
                <w:lang w:val="de-DE"/>
              </w:rPr>
              <w:t>ein</w:t>
            </w:r>
            <w:r>
              <w:rPr>
                <w:rFonts w:ascii="Arial" w:hAnsi="Arial" w:eastAsia="Arial" w:cs="Arial"/>
                <w:sz w:val="22"/>
                <w:szCs w:val="22"/>
                <w:bdr w:val="nil"/>
                <w:lang w:val="de-DE"/>
              </w:rPr>
              <w:t xml:space="preserve"> Menschenrechtsmandat und/oder das Mandat einer </w:t>
            </w:r>
            <w:r w:rsidR="00E3434C">
              <w:rPr>
                <w:rFonts w:ascii="Arial" w:hAnsi="Arial" w:eastAsia="Arial" w:cs="Arial"/>
                <w:sz w:val="22"/>
                <w:szCs w:val="22"/>
                <w:bdr w:val="nil"/>
                <w:lang w:val="de-DE"/>
              </w:rPr>
              <w:t>Ombudsperson</w:t>
            </w:r>
            <w:r>
              <w:rPr>
                <w:rFonts w:ascii="Arial" w:hAnsi="Arial" w:eastAsia="Arial" w:cs="Arial"/>
                <w:sz w:val="22"/>
                <w:szCs w:val="22"/>
                <w:bdr w:val="nil"/>
                <w:lang w:val="de-DE"/>
              </w:rPr>
              <w:t xml:space="preserve"> </w:t>
            </w:r>
            <w:r w:rsidR="009B200A">
              <w:rPr>
                <w:rFonts w:ascii="Arial" w:hAnsi="Arial" w:eastAsia="Arial" w:cs="Arial"/>
                <w:sz w:val="22"/>
                <w:szCs w:val="22"/>
                <w:bdr w:val="nil"/>
                <w:lang w:val="de-DE"/>
              </w:rPr>
              <w:t>hat</w:t>
            </w:r>
            <w:r>
              <w:rPr>
                <w:rFonts w:ascii="Arial" w:hAnsi="Arial" w:eastAsia="Arial" w:cs="Arial"/>
                <w:sz w:val="22"/>
                <w:szCs w:val="22"/>
                <w:bdr w:val="nil"/>
                <w:lang w:val="de-DE"/>
              </w:rPr>
              <w:t xml:space="preserve">. In anderen Mitgliedstaaten wurden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w:t>
            </w:r>
            <w:r w:rsidR="009B200A">
              <w:rPr>
                <w:rFonts w:ascii="Arial" w:hAnsi="Arial" w:eastAsia="Arial" w:cs="Arial"/>
                <w:sz w:val="22"/>
                <w:szCs w:val="22"/>
                <w:bdr w:val="nil"/>
                <w:lang w:val="de-DE"/>
              </w:rPr>
              <w:t xml:space="preserve">, die </w:t>
            </w:r>
            <w:r w:rsidRPr="009B200A" w:rsidR="009B200A">
              <w:rPr>
                <w:rFonts w:ascii="Arial" w:hAnsi="Arial" w:eastAsia="Arial" w:cs="Arial"/>
                <w:sz w:val="22"/>
                <w:szCs w:val="22"/>
                <w:bdr w:val="nil"/>
                <w:lang w:val="de-DE"/>
              </w:rPr>
              <w:t xml:space="preserve">für einzelne oder mehrere Diskriminierungsgründe </w:t>
            </w:r>
            <w:r w:rsidR="009B200A">
              <w:rPr>
                <w:rFonts w:ascii="Arial" w:hAnsi="Arial" w:eastAsia="Arial" w:cs="Arial"/>
                <w:sz w:val="22"/>
                <w:szCs w:val="22"/>
                <w:bdr w:val="nil"/>
                <w:lang w:val="de-DE"/>
              </w:rPr>
              <w:t>zuständig waren,</w:t>
            </w:r>
            <w:r>
              <w:rPr>
                <w:rFonts w:ascii="Arial" w:hAnsi="Arial" w:eastAsia="Arial" w:cs="Arial"/>
                <w:sz w:val="22"/>
                <w:szCs w:val="22"/>
                <w:bdr w:val="nil"/>
                <w:lang w:val="de-DE"/>
              </w:rPr>
              <w:t xml:space="preserve"> mit Menschenrechtsinstitutionen und de</w:t>
            </w:r>
            <w:r w:rsidR="00E3434C">
              <w:rPr>
                <w:rFonts w:ascii="Arial" w:hAnsi="Arial" w:eastAsia="Arial" w:cs="Arial"/>
                <w:sz w:val="22"/>
                <w:szCs w:val="22"/>
                <w:bdr w:val="nil"/>
                <w:lang w:val="de-DE"/>
              </w:rPr>
              <w:t>n Ämtern</w:t>
            </w:r>
            <w:r>
              <w:rPr>
                <w:rFonts w:ascii="Arial" w:hAnsi="Arial" w:eastAsia="Arial" w:cs="Arial"/>
                <w:sz w:val="22"/>
                <w:szCs w:val="22"/>
                <w:bdr w:val="nil"/>
                <w:lang w:val="de-DE"/>
              </w:rPr>
              <w:t xml:space="preserve"> von </w:t>
            </w:r>
            <w:r w:rsidR="00E3434C">
              <w:rPr>
                <w:rFonts w:ascii="Arial" w:hAnsi="Arial" w:eastAsia="Arial" w:cs="Arial"/>
                <w:sz w:val="22"/>
                <w:szCs w:val="22"/>
                <w:bdr w:val="nil"/>
                <w:lang w:val="de-DE"/>
              </w:rPr>
              <w:t>Ombudspersonen</w:t>
            </w:r>
            <w:r>
              <w:rPr>
                <w:rFonts w:ascii="Arial" w:hAnsi="Arial" w:eastAsia="Arial" w:cs="Arial"/>
                <w:sz w:val="22"/>
                <w:szCs w:val="22"/>
                <w:bdr w:val="nil"/>
                <w:lang w:val="de-DE"/>
              </w:rPr>
              <w:t xml:space="preserve"> </w:t>
            </w:r>
            <w:r w:rsidR="00E3434C">
              <w:rPr>
                <w:rFonts w:ascii="Arial" w:hAnsi="Arial" w:eastAsia="Arial" w:cs="Arial"/>
                <w:sz w:val="22"/>
                <w:szCs w:val="22"/>
                <w:bdr w:val="nil"/>
                <w:lang w:val="de-DE"/>
              </w:rPr>
              <w:t>fusioniert.</w:t>
            </w:r>
          </w:p>
          <w:p w:rsidRPr="00C0685F" w:rsidR="00DD016F" w:rsidP="004B73F0" w:rsidRDefault="0078680C" w14:paraId="1C47992C" w14:textId="122D646D">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D</w:t>
            </w:r>
            <w:r w:rsidR="00E3434C">
              <w:rPr>
                <w:rFonts w:ascii="Arial" w:hAnsi="Arial" w:eastAsia="Arial" w:cs="Arial"/>
                <w:sz w:val="22"/>
                <w:szCs w:val="22"/>
                <w:bdr w:val="nil"/>
                <w:lang w:val="de-DE"/>
              </w:rPr>
              <w:t>ie Integration des</w:t>
            </w:r>
            <w:r>
              <w:rPr>
                <w:rFonts w:ascii="Arial" w:hAnsi="Arial" w:eastAsia="Arial" w:cs="Arial"/>
                <w:sz w:val="22"/>
                <w:szCs w:val="22"/>
                <w:bdr w:val="nil"/>
                <w:lang w:val="de-DE"/>
              </w:rPr>
              <w:t xml:space="preserve">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 xml:space="preserve">smandat in eine für mehrere Mandate zuständige Institution kann ein positives Potenzial </w:t>
            </w:r>
            <w:r w:rsidR="00E3434C">
              <w:rPr>
                <w:rFonts w:ascii="Arial" w:hAnsi="Arial" w:eastAsia="Arial" w:cs="Arial"/>
                <w:sz w:val="22"/>
                <w:szCs w:val="22"/>
                <w:bdr w:val="nil"/>
                <w:lang w:val="de-DE"/>
              </w:rPr>
              <w:t>haben</w:t>
            </w:r>
            <w:r>
              <w:rPr>
                <w:rFonts w:ascii="Arial" w:hAnsi="Arial" w:eastAsia="Arial" w:cs="Arial"/>
                <w:sz w:val="22"/>
                <w:szCs w:val="22"/>
                <w:bdr w:val="nil"/>
                <w:lang w:val="de-DE"/>
              </w:rPr>
              <w:t xml:space="preserve">, </w:t>
            </w:r>
            <w:r w:rsidR="00E3434C">
              <w:rPr>
                <w:rFonts w:ascii="Arial" w:hAnsi="Arial" w:eastAsia="Arial" w:cs="Arial"/>
                <w:sz w:val="22"/>
                <w:szCs w:val="22"/>
                <w:bdr w:val="nil"/>
                <w:lang w:val="de-DE"/>
              </w:rPr>
              <w:t xml:space="preserve">wenn </w:t>
            </w:r>
            <w:r>
              <w:rPr>
                <w:rFonts w:ascii="Arial" w:hAnsi="Arial" w:eastAsia="Arial" w:cs="Arial"/>
                <w:sz w:val="22"/>
                <w:szCs w:val="22"/>
                <w:bdr w:val="nil"/>
                <w:lang w:val="de-DE"/>
              </w:rPr>
              <w:t xml:space="preserve">Fragen der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 xml:space="preserve">, Diskriminierung und Intoleranz im Rahmen </w:t>
            </w:r>
            <w:r w:rsidR="00E3434C">
              <w:rPr>
                <w:rFonts w:ascii="Arial" w:hAnsi="Arial" w:eastAsia="Arial" w:cs="Arial"/>
                <w:sz w:val="22"/>
                <w:szCs w:val="22"/>
                <w:bdr w:val="nil"/>
                <w:lang w:val="de-DE"/>
              </w:rPr>
              <w:t xml:space="preserve">aller </w:t>
            </w:r>
            <w:r>
              <w:rPr>
                <w:rFonts w:ascii="Arial" w:hAnsi="Arial" w:eastAsia="Arial" w:cs="Arial"/>
                <w:sz w:val="22"/>
                <w:szCs w:val="22"/>
                <w:bdr w:val="nil"/>
                <w:lang w:val="de-DE"/>
              </w:rPr>
              <w:t>Mandate umfassender und effektiver behandel</w:t>
            </w:r>
            <w:r w:rsidR="00E3434C">
              <w:rPr>
                <w:rFonts w:ascii="Arial" w:hAnsi="Arial" w:eastAsia="Arial" w:cs="Arial"/>
                <w:sz w:val="22"/>
                <w:szCs w:val="22"/>
                <w:bdr w:val="nil"/>
                <w:lang w:val="de-DE"/>
              </w:rPr>
              <w:t>t werde</w:t>
            </w:r>
            <w:r>
              <w:rPr>
                <w:rFonts w:ascii="Arial" w:hAnsi="Arial" w:eastAsia="Arial" w:cs="Arial"/>
                <w:sz w:val="22"/>
                <w:szCs w:val="22"/>
                <w:bdr w:val="nil"/>
                <w:lang w:val="de-DE"/>
              </w:rPr>
              <w:t xml:space="preserve">n. </w:t>
            </w:r>
            <w:r w:rsidR="00E3434C">
              <w:rPr>
                <w:rFonts w:ascii="Arial" w:hAnsi="Arial" w:eastAsia="Arial" w:cs="Arial"/>
                <w:sz w:val="22"/>
                <w:szCs w:val="22"/>
                <w:bdr w:val="nil"/>
                <w:lang w:val="de-DE"/>
              </w:rPr>
              <w:t xml:space="preserve">Die Hebung </w:t>
            </w:r>
            <w:r>
              <w:rPr>
                <w:rFonts w:ascii="Arial" w:hAnsi="Arial" w:eastAsia="Arial" w:cs="Arial"/>
                <w:sz w:val="22"/>
                <w:szCs w:val="22"/>
                <w:bdr w:val="nil"/>
                <w:lang w:val="de-DE"/>
              </w:rPr>
              <w:t xml:space="preserve">dieses Potenzials </w:t>
            </w:r>
            <w:r w:rsidR="00E3434C">
              <w:rPr>
                <w:rFonts w:ascii="Arial" w:hAnsi="Arial" w:eastAsia="Arial" w:cs="Arial"/>
                <w:sz w:val="22"/>
                <w:szCs w:val="22"/>
                <w:bdr w:val="nil"/>
                <w:lang w:val="de-DE"/>
              </w:rPr>
              <w:t xml:space="preserve">erfordert allerdings </w:t>
            </w:r>
            <w:r>
              <w:rPr>
                <w:rFonts w:ascii="Arial" w:hAnsi="Arial" w:eastAsia="Arial" w:cs="Arial"/>
                <w:sz w:val="22"/>
                <w:szCs w:val="22"/>
                <w:bdr w:val="nil"/>
                <w:lang w:val="de-DE"/>
              </w:rPr>
              <w:t xml:space="preserve">eine starke und innovative Leitung, um eine effiziente Koordinierung und Integration der verschiedenen Mandate zu erzielen. </w:t>
            </w:r>
          </w:p>
          <w:p w:rsidRPr="006C29B1" w:rsidR="00DD016F" w:rsidP="004B73F0" w:rsidRDefault="0078680C" w14:paraId="01CBF405" w14:textId="4FD1578F">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Innerhalb </w:t>
            </w:r>
            <w:r w:rsidR="00E3434C">
              <w:rPr>
                <w:rFonts w:ascii="Arial" w:hAnsi="Arial" w:eastAsia="Arial" w:cs="Arial"/>
                <w:sz w:val="22"/>
                <w:szCs w:val="22"/>
                <w:bdr w:val="nil"/>
                <w:lang w:val="de-DE"/>
              </w:rPr>
              <w:t>solcher</w:t>
            </w:r>
            <w:r>
              <w:rPr>
                <w:rFonts w:ascii="Arial" w:hAnsi="Arial" w:eastAsia="Arial" w:cs="Arial"/>
                <w:sz w:val="22"/>
                <w:szCs w:val="22"/>
                <w:bdr w:val="nil"/>
                <w:lang w:val="de-DE"/>
              </w:rPr>
              <w:t xml:space="preserve"> Institutionen </w:t>
            </w:r>
            <w:r w:rsidR="00E3434C">
              <w:rPr>
                <w:rFonts w:ascii="Arial" w:hAnsi="Arial" w:eastAsia="Arial" w:cs="Arial"/>
                <w:sz w:val="22"/>
                <w:szCs w:val="22"/>
                <w:bdr w:val="nil"/>
                <w:lang w:val="de-DE"/>
              </w:rPr>
              <w:t xml:space="preserve">mit mehreren Mandaten </w:t>
            </w:r>
            <w:r>
              <w:rPr>
                <w:rFonts w:ascii="Arial" w:hAnsi="Arial" w:eastAsia="Arial" w:cs="Arial"/>
                <w:sz w:val="22"/>
                <w:szCs w:val="22"/>
                <w:bdr w:val="nil"/>
                <w:lang w:val="de-DE"/>
              </w:rPr>
              <w:t>kann es</w:t>
            </w:r>
            <w:r w:rsidR="009B200A">
              <w:rPr>
                <w:rFonts w:ascii="Arial" w:hAnsi="Arial" w:eastAsia="Arial" w:cs="Arial"/>
                <w:sz w:val="22"/>
                <w:szCs w:val="22"/>
                <w:bdr w:val="nil"/>
                <w:lang w:val="de-DE"/>
              </w:rPr>
              <w:t xml:space="preserve"> zu Spannungen kommen,</w:t>
            </w:r>
            <w:r>
              <w:rPr>
                <w:rFonts w:ascii="Arial" w:hAnsi="Arial" w:eastAsia="Arial" w:cs="Arial"/>
                <w:sz w:val="22"/>
                <w:szCs w:val="22"/>
                <w:bdr w:val="nil"/>
                <w:lang w:val="de-DE"/>
              </w:rPr>
              <w:t xml:space="preserve"> </w:t>
            </w:r>
            <w:r w:rsidR="00E3434C">
              <w:rPr>
                <w:rFonts w:ascii="Arial" w:hAnsi="Arial" w:eastAsia="Arial" w:cs="Arial"/>
                <w:sz w:val="22"/>
                <w:szCs w:val="22"/>
                <w:bdr w:val="nil"/>
                <w:lang w:val="de-DE"/>
              </w:rPr>
              <w:t>insbesondere nach einer Fusion</w:t>
            </w:r>
            <w:r>
              <w:rPr>
                <w:rFonts w:ascii="Arial" w:hAnsi="Arial" w:eastAsia="Arial" w:cs="Arial"/>
                <w:sz w:val="22"/>
                <w:szCs w:val="22"/>
                <w:bdr w:val="nil"/>
                <w:lang w:val="de-DE"/>
              </w:rPr>
              <w:t xml:space="preserve">. Jedes Mandat </w:t>
            </w:r>
            <w:r w:rsidR="00E3434C">
              <w:rPr>
                <w:rFonts w:ascii="Arial" w:hAnsi="Arial" w:eastAsia="Arial" w:cs="Arial"/>
                <w:sz w:val="22"/>
                <w:szCs w:val="22"/>
                <w:bdr w:val="nil"/>
                <w:lang w:val="de-DE"/>
              </w:rPr>
              <w:t>hat</w:t>
            </w:r>
            <w:r>
              <w:rPr>
                <w:rFonts w:ascii="Arial" w:hAnsi="Arial" w:eastAsia="Arial" w:cs="Arial"/>
                <w:sz w:val="22"/>
                <w:szCs w:val="22"/>
                <w:bdr w:val="nil"/>
                <w:lang w:val="de-DE"/>
              </w:rPr>
              <w:t xml:space="preserve"> eigene Traditionen, </w:t>
            </w:r>
            <w:r w:rsidR="009B200A">
              <w:rPr>
                <w:rFonts w:ascii="Arial" w:hAnsi="Arial" w:eastAsia="Arial" w:cs="Arial"/>
                <w:sz w:val="22"/>
                <w:szCs w:val="22"/>
                <w:bdr w:val="nil"/>
                <w:lang w:val="de-DE"/>
              </w:rPr>
              <w:t>Herangehensweisen</w:t>
            </w:r>
            <w:r>
              <w:rPr>
                <w:rFonts w:ascii="Arial" w:hAnsi="Arial" w:eastAsia="Arial" w:cs="Arial"/>
                <w:sz w:val="22"/>
                <w:szCs w:val="22"/>
                <w:bdr w:val="nil"/>
                <w:lang w:val="de-DE"/>
              </w:rPr>
              <w:t xml:space="preserve"> und Zielsetzungen. Es ist wichtig, diese Vielfalt zu respektieren </w:t>
            </w:r>
            <w:r>
              <w:rPr>
                <w:rFonts w:ascii="Arial" w:hAnsi="Arial" w:eastAsia="Arial" w:cs="Arial"/>
                <w:sz w:val="22"/>
                <w:szCs w:val="22"/>
                <w:bdr w:val="nil"/>
                <w:lang w:val="de-DE"/>
              </w:rPr>
              <w:lastRenderedPageBreak/>
              <w:t xml:space="preserve">und zu bewahren und </w:t>
            </w:r>
            <w:r w:rsidR="009B200A">
              <w:rPr>
                <w:rFonts w:ascii="Arial" w:hAnsi="Arial" w:eastAsia="Arial" w:cs="Arial"/>
                <w:sz w:val="22"/>
                <w:szCs w:val="22"/>
                <w:bdr w:val="nil"/>
                <w:lang w:val="de-DE"/>
              </w:rPr>
              <w:t xml:space="preserve">gleichzeitig </w:t>
            </w:r>
            <w:r>
              <w:rPr>
                <w:rFonts w:ascii="Arial" w:hAnsi="Arial" w:eastAsia="Arial" w:cs="Arial"/>
                <w:sz w:val="22"/>
                <w:szCs w:val="22"/>
                <w:bdr w:val="nil"/>
                <w:lang w:val="de-DE"/>
              </w:rPr>
              <w:t>die Integration der zusammengelegten Mandate voranzutreiben, um d</w:t>
            </w:r>
            <w:r w:rsidR="00E3434C">
              <w:rPr>
                <w:rFonts w:ascii="Arial" w:hAnsi="Arial" w:eastAsia="Arial" w:cs="Arial"/>
                <w:sz w:val="22"/>
                <w:szCs w:val="22"/>
                <w:bdr w:val="nil"/>
                <w:lang w:val="de-DE"/>
              </w:rPr>
              <w:t>ie Wirk</w:t>
            </w:r>
            <w:r w:rsidR="009B200A">
              <w:rPr>
                <w:rFonts w:ascii="Arial" w:hAnsi="Arial" w:eastAsia="Arial" w:cs="Arial"/>
                <w:sz w:val="22"/>
                <w:szCs w:val="22"/>
                <w:bdr w:val="nil"/>
                <w:lang w:val="de-DE"/>
              </w:rPr>
              <w:t xml:space="preserve">samkeit </w:t>
            </w:r>
            <w:r>
              <w:rPr>
                <w:rFonts w:ascii="Arial" w:hAnsi="Arial" w:eastAsia="Arial" w:cs="Arial"/>
                <w:sz w:val="22"/>
                <w:szCs w:val="22"/>
                <w:bdr w:val="nil"/>
                <w:lang w:val="de-DE"/>
              </w:rPr>
              <w:t>der Institution zu verbessern.</w:t>
            </w:r>
          </w:p>
          <w:p w:rsidRPr="00C0685F" w:rsidR="00DD016F" w:rsidP="004B73F0" w:rsidRDefault="00786C47" w14:paraId="7772DCFC" w14:textId="46717103">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w:t>
            </w:r>
            <w:r w:rsidRPr="00C0685F" w:rsidR="009B200A">
              <w:rPr>
                <w:rFonts w:ascii="Arial" w:hAnsi="Arial" w:cs="Arial"/>
                <w:sz w:val="22"/>
                <w:szCs w:val="22"/>
                <w:lang w:val="de-DE"/>
              </w:rPr>
              <w:t>7</w:t>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enthält Empfehlungen, die </w:t>
            </w:r>
            <w:r w:rsidR="00E3434C">
              <w:rPr>
                <w:rFonts w:ascii="Arial" w:hAnsi="Arial" w:eastAsia="Arial" w:cs="Arial"/>
                <w:sz w:val="22"/>
                <w:szCs w:val="22"/>
                <w:bdr w:val="nil"/>
                <w:lang w:val="de-DE"/>
              </w:rPr>
              <w:t xml:space="preserve">in solchen Institutionen </w:t>
            </w:r>
            <w:r w:rsidR="0078680C">
              <w:rPr>
                <w:rFonts w:ascii="Arial" w:hAnsi="Arial" w:eastAsia="Arial" w:cs="Arial"/>
                <w:sz w:val="22"/>
                <w:szCs w:val="22"/>
                <w:bdr w:val="nil"/>
                <w:lang w:val="de-DE"/>
              </w:rPr>
              <w:t xml:space="preserve">eine angemessene Fokussierung auf das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smandat gewährleisten sollen. Eine klare Führungsstruktur für das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smandat trägt dazu bei, die „Eigentümerschaft" für dieses Mandat sicherzustellen. Zusätzlich sollte es einen strategischen Plan für das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smandat geben (siehe </w:t>
            </w:r>
            <w:r>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_Ref483900897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33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und die Umsetzung der </w:t>
            </w:r>
            <w:r w:rsidR="00E3434C">
              <w:rPr>
                <w:rFonts w:ascii="Arial" w:hAnsi="Arial" w:eastAsia="Arial" w:cs="Arial"/>
                <w:sz w:val="22"/>
                <w:szCs w:val="22"/>
                <w:bdr w:val="nil"/>
                <w:lang w:val="de-DE"/>
              </w:rPr>
              <w:t>Aktivitäten</w:t>
            </w:r>
            <w:r w:rsidR="0078680C">
              <w:rPr>
                <w:rFonts w:ascii="Arial" w:hAnsi="Arial" w:eastAsia="Arial" w:cs="Arial"/>
                <w:sz w:val="22"/>
                <w:szCs w:val="22"/>
                <w:bdr w:val="nil"/>
                <w:lang w:val="de-DE"/>
              </w:rPr>
              <w:t xml:space="preserve"> in Bezug auf Gleich</w:t>
            </w:r>
            <w:r w:rsidR="00E3434C">
              <w:rPr>
                <w:rFonts w:ascii="Arial" w:hAnsi="Arial" w:eastAsia="Arial" w:cs="Arial"/>
                <w:sz w:val="22"/>
                <w:szCs w:val="22"/>
                <w:bdr w:val="nil"/>
                <w:lang w:val="de-DE"/>
              </w:rPr>
              <w:t>heits</w:t>
            </w:r>
            <w:r w:rsidR="0078680C">
              <w:rPr>
                <w:rFonts w:ascii="Arial" w:hAnsi="Arial" w:eastAsia="Arial" w:cs="Arial"/>
                <w:sz w:val="22"/>
                <w:szCs w:val="22"/>
                <w:bdr w:val="nil"/>
                <w:lang w:val="de-DE"/>
              </w:rPr>
              <w:t xml:space="preserve">fragen sollte auf eine Weise organisiert werden, die die Sichtbarkeit für dieses Mandat gewährleistet. Ein </w:t>
            </w:r>
            <w:r w:rsidR="00E3434C">
              <w:rPr>
                <w:rFonts w:ascii="Arial" w:hAnsi="Arial" w:eastAsia="Arial" w:cs="Arial"/>
                <w:sz w:val="22"/>
                <w:szCs w:val="22"/>
                <w:bdr w:val="nil"/>
                <w:lang w:val="de-DE"/>
              </w:rPr>
              <w:t>beratender A</w:t>
            </w:r>
            <w:r w:rsidR="0078680C">
              <w:rPr>
                <w:rFonts w:ascii="Arial" w:hAnsi="Arial" w:eastAsia="Arial" w:cs="Arial"/>
                <w:sz w:val="22"/>
                <w:szCs w:val="22"/>
                <w:bdr w:val="nil"/>
                <w:lang w:val="de-DE"/>
              </w:rPr>
              <w:t xml:space="preserve">usschuss (siehe </w:t>
            </w:r>
            <w:r>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_Ref490660392 \r \h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00120F0D">
              <w:rPr>
                <w:rFonts w:ascii="Arial" w:hAnsi="Arial" w:cs="Arial"/>
                <w:sz w:val="22"/>
                <w:szCs w:val="22"/>
                <w:lang w:val="de-DE"/>
              </w:rPr>
              <w:t>114</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des Begründungstextes) kann dazu beitragen, d</w:t>
            </w:r>
            <w:r w:rsidR="00E0416B">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w:t>
            </w:r>
            <w:r w:rsidR="00E3434C">
              <w:rPr>
                <w:rFonts w:ascii="Arial" w:hAnsi="Arial" w:eastAsia="Arial" w:cs="Arial"/>
                <w:sz w:val="22"/>
                <w:szCs w:val="22"/>
                <w:bdr w:val="nil"/>
                <w:lang w:val="de-DE"/>
              </w:rPr>
              <w:t>Wirk</w:t>
            </w:r>
            <w:r w:rsidR="00723DD6">
              <w:rPr>
                <w:rFonts w:ascii="Arial" w:hAnsi="Arial" w:eastAsia="Arial" w:cs="Arial"/>
                <w:sz w:val="22"/>
                <w:szCs w:val="22"/>
                <w:bdr w:val="nil"/>
                <w:lang w:val="de-DE"/>
              </w:rPr>
              <w:t xml:space="preserve">samkeit unter dem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smandat zu verbessern. Der Terminus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k</w:t>
            </w:r>
            <w:r w:rsidR="00723DD6">
              <w:rPr>
                <w:rFonts w:ascii="Arial" w:hAnsi="Arial" w:eastAsia="Arial" w:cs="Arial"/>
                <w:sz w:val="22"/>
                <w:szCs w:val="22"/>
                <w:bdr w:val="nil"/>
                <w:lang w:val="de-DE"/>
              </w:rPr>
              <w:t>a</w:t>
            </w:r>
            <w:r w:rsidR="0078680C">
              <w:rPr>
                <w:rFonts w:ascii="Arial" w:hAnsi="Arial" w:eastAsia="Arial" w:cs="Arial"/>
                <w:sz w:val="22"/>
                <w:szCs w:val="22"/>
                <w:bdr w:val="nil"/>
                <w:lang w:val="de-DE"/>
              </w:rPr>
              <w:t xml:space="preserve">nn auch </w:t>
            </w:r>
            <w:r w:rsidR="00204672">
              <w:rPr>
                <w:rFonts w:ascii="Arial" w:hAnsi="Arial" w:eastAsia="Arial" w:cs="Arial"/>
                <w:sz w:val="22"/>
                <w:szCs w:val="22"/>
                <w:bdr w:val="nil"/>
                <w:lang w:val="de-DE"/>
              </w:rPr>
              <w:t>in den</w:t>
            </w:r>
            <w:r w:rsidR="0078680C">
              <w:rPr>
                <w:rFonts w:ascii="Arial" w:hAnsi="Arial" w:eastAsia="Arial" w:cs="Arial"/>
                <w:sz w:val="22"/>
                <w:szCs w:val="22"/>
                <w:bdr w:val="nil"/>
                <w:lang w:val="de-DE"/>
              </w:rPr>
              <w:t xml:space="preserve"> Namen der Institution </w:t>
            </w:r>
            <w:r w:rsidR="00204672">
              <w:rPr>
                <w:rFonts w:ascii="Arial" w:hAnsi="Arial" w:eastAsia="Arial" w:cs="Arial"/>
                <w:sz w:val="22"/>
                <w:szCs w:val="22"/>
                <w:bdr w:val="nil"/>
                <w:lang w:val="de-DE"/>
              </w:rPr>
              <w:t xml:space="preserve">aufgenommen </w:t>
            </w:r>
            <w:r w:rsidR="0078680C">
              <w:rPr>
                <w:rFonts w:ascii="Arial" w:hAnsi="Arial" w:eastAsia="Arial" w:cs="Arial"/>
                <w:sz w:val="22"/>
                <w:szCs w:val="22"/>
                <w:bdr w:val="nil"/>
                <w:lang w:val="de-DE"/>
              </w:rPr>
              <w:t xml:space="preserve">werden. </w:t>
            </w:r>
          </w:p>
          <w:p w:rsidRPr="00C0685F" w:rsidR="00DD016F" w:rsidP="004B73F0" w:rsidRDefault="0078680C" w14:paraId="0C94A9D3" w14:textId="6A95478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Der Ansatz</w:t>
            </w:r>
            <w:r w:rsidR="00723DD6">
              <w:rPr>
                <w:rFonts w:ascii="Arial" w:hAnsi="Arial" w:eastAsia="Arial" w:cs="Arial"/>
                <w:sz w:val="22"/>
                <w:szCs w:val="22"/>
                <w:bdr w:val="nil"/>
                <w:lang w:val="de-DE"/>
              </w:rPr>
              <w:t>,</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723DD6">
              <w:rPr>
                <w:rFonts w:ascii="Arial" w:hAnsi="Arial" w:eastAsia="Arial" w:cs="Arial"/>
                <w:sz w:val="22"/>
                <w:szCs w:val="22"/>
                <w:bdr w:val="nil"/>
                <w:lang w:val="de-DE"/>
              </w:rPr>
              <w:t>mit</w:t>
            </w:r>
            <w:r>
              <w:rPr>
                <w:rFonts w:ascii="Arial" w:hAnsi="Arial" w:eastAsia="Arial" w:cs="Arial"/>
                <w:sz w:val="22"/>
                <w:szCs w:val="22"/>
                <w:bdr w:val="nil"/>
                <w:lang w:val="de-DE"/>
              </w:rPr>
              <w:t xml:space="preserve"> Institutionen mit mehreren Mandaten </w:t>
            </w:r>
            <w:r w:rsidR="00723DD6">
              <w:rPr>
                <w:rFonts w:ascii="Arial" w:hAnsi="Arial" w:eastAsia="Arial" w:cs="Arial"/>
                <w:sz w:val="22"/>
                <w:szCs w:val="22"/>
                <w:bdr w:val="nil"/>
                <w:lang w:val="de-DE"/>
              </w:rPr>
              <w:t xml:space="preserve">zu fusionieren oder sie dort zu verorten, </w:t>
            </w:r>
            <w:r>
              <w:rPr>
                <w:rFonts w:ascii="Arial" w:hAnsi="Arial" w:eastAsia="Arial" w:cs="Arial"/>
                <w:sz w:val="22"/>
                <w:szCs w:val="22"/>
                <w:bdr w:val="nil"/>
                <w:lang w:val="de-DE"/>
              </w:rPr>
              <w:t xml:space="preserve">sollte nur dann verfolgt werden, wenn er das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 xml:space="preserve">smandat </w:t>
            </w:r>
            <w:r w:rsidR="00723DD6">
              <w:rPr>
                <w:rFonts w:ascii="Arial" w:hAnsi="Arial" w:eastAsia="Arial" w:cs="Arial"/>
                <w:sz w:val="22"/>
                <w:szCs w:val="22"/>
                <w:bdr w:val="nil"/>
                <w:lang w:val="de-DE"/>
              </w:rPr>
              <w:t xml:space="preserve">nicht </w:t>
            </w:r>
            <w:r>
              <w:rPr>
                <w:rFonts w:ascii="Arial" w:hAnsi="Arial" w:eastAsia="Arial" w:cs="Arial"/>
                <w:sz w:val="22"/>
                <w:szCs w:val="22"/>
                <w:bdr w:val="nil"/>
                <w:lang w:val="de-DE"/>
              </w:rPr>
              <w:t xml:space="preserve">schwächt und wenn eine angemessene Fokussierung und ausreichende Ressourcen für dieses Mandat sichergestellt sind. </w:t>
            </w:r>
            <w:r w:rsidRPr="00204672" w:rsidR="00204672">
              <w:rPr>
                <w:rFonts w:ascii="Arial" w:hAnsi="Arial" w:eastAsia="Arial" w:cs="Arial"/>
                <w:sz w:val="22"/>
                <w:szCs w:val="22"/>
                <w:bdr w:val="nil"/>
                <w:lang w:val="de-DE"/>
              </w:rPr>
              <w:t xml:space="preserve">Andernfalls ist es vorzuziehen, eine eigenständige </w:t>
            </w:r>
            <w:r w:rsidR="00204672">
              <w:rPr>
                <w:rFonts w:ascii="Arial" w:hAnsi="Arial" w:eastAsia="Arial" w:cs="Arial"/>
                <w:sz w:val="22"/>
                <w:szCs w:val="22"/>
                <w:bdr w:val="nil"/>
                <w:lang w:val="de-DE"/>
              </w:rPr>
              <w:t>Institution</w:t>
            </w:r>
            <w:r w:rsidRPr="00204672" w:rsidR="00204672">
              <w:rPr>
                <w:rFonts w:ascii="Arial" w:hAnsi="Arial" w:eastAsia="Arial" w:cs="Arial"/>
                <w:sz w:val="22"/>
                <w:szCs w:val="22"/>
                <w:bdr w:val="nil"/>
                <w:lang w:val="de-DE"/>
              </w:rPr>
              <w:t xml:space="preserve"> einzurichten oder beizubehalten.</w:t>
            </w:r>
          </w:p>
          <w:p w:rsidRPr="00C0685F" w:rsidR="00DD016F" w:rsidP="004B73F0" w:rsidRDefault="0078680C" w14:paraId="3E43B8C7" w14:textId="6AEB6179">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Wenn das Mandat einer Institution mit mehreren Mandaten auf den öffentlichen </w:t>
            </w:r>
            <w:r w:rsidR="00723DD6">
              <w:rPr>
                <w:rFonts w:ascii="Arial" w:hAnsi="Arial" w:eastAsia="Arial" w:cs="Arial"/>
                <w:sz w:val="22"/>
                <w:szCs w:val="22"/>
                <w:bdr w:val="nil"/>
                <w:lang w:val="de-DE"/>
              </w:rPr>
              <w:t xml:space="preserve">Sektor </w:t>
            </w:r>
            <w:r>
              <w:rPr>
                <w:rFonts w:ascii="Arial" w:hAnsi="Arial" w:eastAsia="Arial" w:cs="Arial"/>
                <w:sz w:val="22"/>
                <w:szCs w:val="22"/>
                <w:bdr w:val="nil"/>
                <w:lang w:val="de-DE"/>
              </w:rPr>
              <w:t xml:space="preserve">beschränkt ist, sollte ihr </w:t>
            </w:r>
            <w:r w:rsidR="00832261">
              <w:rPr>
                <w:rFonts w:ascii="Arial" w:hAnsi="Arial" w:eastAsia="Arial" w:cs="Arial"/>
                <w:sz w:val="22"/>
                <w:szCs w:val="22"/>
                <w:bdr w:val="nil"/>
                <w:lang w:val="de-DE"/>
              </w:rPr>
              <w:t>Gleichheit</w:t>
            </w:r>
            <w:r>
              <w:rPr>
                <w:rFonts w:ascii="Arial" w:hAnsi="Arial" w:eastAsia="Arial" w:cs="Arial"/>
                <w:sz w:val="22"/>
                <w:szCs w:val="22"/>
                <w:bdr w:val="nil"/>
                <w:lang w:val="de-DE"/>
              </w:rPr>
              <w:t xml:space="preserve">smandat auf den Privatsektor ausgeweitet werden (und umgekehrt, wenn das bestehende Mandat nur den Privatsektor abdeckt). Dies ist </w:t>
            </w:r>
            <w:r w:rsidR="00723DD6">
              <w:rPr>
                <w:rFonts w:ascii="Arial" w:hAnsi="Arial" w:eastAsia="Arial" w:cs="Arial"/>
                <w:sz w:val="22"/>
                <w:szCs w:val="22"/>
                <w:bdr w:val="nil"/>
                <w:lang w:val="de-DE"/>
              </w:rPr>
              <w:t>der Übertragung des zusätzlichen Mandats auf eine</w:t>
            </w:r>
            <w:r>
              <w:rPr>
                <w:rFonts w:ascii="Arial" w:hAnsi="Arial" w:eastAsia="Arial" w:cs="Arial"/>
                <w:sz w:val="22"/>
                <w:szCs w:val="22"/>
                <w:bdr w:val="nil"/>
                <w:lang w:val="de-DE"/>
              </w:rPr>
              <w:t xml:space="preserve"> andere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723DD6">
              <w:rPr>
                <w:rFonts w:ascii="Arial" w:hAnsi="Arial" w:eastAsia="Arial" w:cs="Arial"/>
                <w:sz w:val="22"/>
                <w:szCs w:val="22"/>
                <w:bdr w:val="nil"/>
                <w:lang w:val="de-DE"/>
              </w:rPr>
              <w:t xml:space="preserve">vorzugswürdig. </w:t>
            </w:r>
          </w:p>
        </w:tc>
      </w:tr>
      <w:tr w:rsidRPr="00046FAE" w:rsidR="00D8651C" w:rsidTr="00C0685F" w14:paraId="52BD99E8" w14:textId="77777777">
        <w:trPr>
          <w:gridAfter w:val="1"/>
          <w:wAfter w:w="649" w:type="dxa"/>
          <w:trHeight w:val="1134"/>
        </w:trPr>
        <w:tc>
          <w:tcPr>
            <w:tcW w:w="0" w:type="auto"/>
          </w:tcPr>
          <w:p w:rsidRPr="006C29B1" w:rsidR="00DD016F" w:rsidP="004B73F0" w:rsidRDefault="00723DD6" w14:paraId="77DECC60" w14:textId="35B84DC0">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 xml:space="preserve">Sind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Teil einer Institution mit mehreren Mandaten, </w:t>
            </w:r>
            <w:r>
              <w:rPr>
                <w:rFonts w:ascii="Arial" w:hAnsi="Arial" w:eastAsia="Arial" w:cs="Arial"/>
                <w:sz w:val="22"/>
                <w:szCs w:val="22"/>
                <w:bdr w:val="nil"/>
                <w:lang w:val="de-DE"/>
              </w:rPr>
              <w:t xml:space="preserve">so </w:t>
            </w:r>
            <w:r w:rsidR="0078680C">
              <w:rPr>
                <w:rFonts w:ascii="Arial" w:hAnsi="Arial" w:eastAsia="Arial" w:cs="Arial"/>
                <w:sz w:val="22"/>
                <w:szCs w:val="22"/>
                <w:bdr w:val="nil"/>
                <w:lang w:val="de-DE"/>
              </w:rPr>
              <w:t xml:space="preserve">sollten die Empfehlungen dieser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so weit wie möglich auf die gesamte Institution </w:t>
            </w:r>
            <w:r w:rsidR="00204672">
              <w:rPr>
                <w:rFonts w:ascii="Arial" w:hAnsi="Arial" w:eastAsia="Arial" w:cs="Arial"/>
                <w:sz w:val="22"/>
                <w:szCs w:val="22"/>
                <w:bdr w:val="nil"/>
                <w:lang w:val="de-DE"/>
              </w:rPr>
              <w:t>angewendet werden</w:t>
            </w:r>
            <w:r w:rsidR="0078680C">
              <w:rPr>
                <w:rFonts w:ascii="Arial" w:hAnsi="Arial" w:eastAsia="Arial" w:cs="Arial"/>
                <w:sz w:val="22"/>
                <w:szCs w:val="22"/>
                <w:bdr w:val="nil"/>
                <w:lang w:val="de-DE"/>
              </w:rPr>
              <w:t xml:space="preserve">. Während einige der Empfehlungen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nur Anwendung im Bereich</w:t>
            </w:r>
            <w:r w:rsidR="00204672">
              <w:rPr>
                <w:rFonts w:ascii="Arial" w:hAnsi="Arial" w:eastAsia="Arial" w:cs="Arial"/>
                <w:sz w:val="22"/>
                <w:szCs w:val="22"/>
                <w:bdr w:val="nil"/>
                <w:lang w:val="de-DE"/>
              </w:rPr>
              <w:t xml:space="preserve"> der</w:t>
            </w:r>
            <w:r w:rsidR="0078680C">
              <w:rPr>
                <w:rFonts w:ascii="Arial" w:hAnsi="Arial" w:eastAsia="Arial" w:cs="Arial"/>
                <w:sz w:val="22"/>
                <w:szCs w:val="22"/>
                <w:bdr w:val="nil"/>
                <w:lang w:val="de-DE"/>
              </w:rPr>
              <w:t xml:space="preserve"> </w:t>
            </w:r>
            <w:r w:rsidR="00832261">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 finden, müssen andere, wie z. B. die Empfehlungen zur Unabhängigkeit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auf die gesamte Institution angewendet werden. </w:t>
            </w:r>
          </w:p>
          <w:p w:rsidRPr="006C29B1" w:rsidR="00DD016F" w:rsidP="004B73F0" w:rsidRDefault="0078680C" w14:paraId="39537BB5" w14:textId="73DA3D23">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 Institutionen mit mehreren Mandaten sollten die Mitgliedstaaten die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 im Hinblick auf die einzelnen Mandate </w:t>
            </w:r>
            <w:r w:rsidRPr="00723DD6" w:rsidR="00723DD6">
              <w:rPr>
                <w:rFonts w:ascii="Arial" w:hAnsi="Arial" w:eastAsia="Arial" w:cs="Arial"/>
                <w:sz w:val="22"/>
                <w:szCs w:val="22"/>
                <w:bdr w:val="nil"/>
                <w:lang w:val="de-DE"/>
              </w:rPr>
              <w:t xml:space="preserve">soweit wie möglich </w:t>
            </w:r>
            <w:r w:rsidR="00723DD6">
              <w:rPr>
                <w:rFonts w:ascii="Arial" w:hAnsi="Arial" w:eastAsia="Arial" w:cs="Arial"/>
                <w:sz w:val="22"/>
                <w:szCs w:val="22"/>
                <w:bdr w:val="nil"/>
                <w:lang w:val="de-DE"/>
              </w:rPr>
              <w:t>untereinander harmonisieren</w:t>
            </w:r>
            <w:r>
              <w:rPr>
                <w:rFonts w:ascii="Arial" w:hAnsi="Arial" w:eastAsia="Arial" w:cs="Arial"/>
                <w:sz w:val="22"/>
                <w:szCs w:val="22"/>
                <w:bdr w:val="nil"/>
                <w:lang w:val="de-DE"/>
              </w:rPr>
              <w:t xml:space="preserve">. In einigen Fällen </w:t>
            </w:r>
            <w:r w:rsidR="00723DD6">
              <w:rPr>
                <w:rFonts w:ascii="Arial" w:hAnsi="Arial" w:eastAsia="Arial" w:cs="Arial"/>
                <w:sz w:val="22"/>
                <w:szCs w:val="22"/>
                <w:bdr w:val="nil"/>
                <w:lang w:val="de-DE"/>
              </w:rPr>
              <w:t xml:space="preserve">haben </w:t>
            </w:r>
            <w:r>
              <w:rPr>
                <w:rFonts w:ascii="Arial" w:hAnsi="Arial" w:eastAsia="Arial" w:cs="Arial"/>
                <w:sz w:val="22"/>
                <w:szCs w:val="22"/>
                <w:bdr w:val="nil"/>
                <w:lang w:val="de-DE"/>
              </w:rPr>
              <w:t xml:space="preserve">diese Institutionen bestimmte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 nur im Hinblick auf ein Mandat, </w:t>
            </w:r>
            <w:r w:rsidR="00204672">
              <w:rPr>
                <w:rFonts w:ascii="Arial" w:hAnsi="Arial" w:eastAsia="Arial" w:cs="Arial"/>
                <w:sz w:val="22"/>
                <w:szCs w:val="22"/>
                <w:bdr w:val="nil"/>
                <w:lang w:val="de-DE"/>
              </w:rPr>
              <w:t>und nicht für</w:t>
            </w:r>
            <w:r>
              <w:rPr>
                <w:rFonts w:ascii="Arial" w:hAnsi="Arial" w:eastAsia="Arial" w:cs="Arial"/>
                <w:sz w:val="22"/>
                <w:szCs w:val="22"/>
                <w:bdr w:val="nil"/>
                <w:lang w:val="de-DE"/>
              </w:rPr>
              <w:t xml:space="preserve"> alle Mandate </w:t>
            </w:r>
            <w:r w:rsidR="00723DD6">
              <w:rPr>
                <w:rFonts w:ascii="Arial" w:hAnsi="Arial" w:eastAsia="Arial" w:cs="Arial"/>
                <w:sz w:val="22"/>
                <w:szCs w:val="22"/>
                <w:bdr w:val="nil"/>
                <w:lang w:val="de-DE"/>
              </w:rPr>
              <w:t>erhalten</w:t>
            </w:r>
            <w:r>
              <w:rPr>
                <w:rFonts w:ascii="Arial" w:hAnsi="Arial" w:eastAsia="Arial" w:cs="Arial"/>
                <w:sz w:val="22"/>
                <w:szCs w:val="22"/>
                <w:bdr w:val="nil"/>
                <w:lang w:val="de-DE"/>
              </w:rPr>
              <w:t xml:space="preserve">. In anderen Fällen </w:t>
            </w:r>
            <w:r w:rsidR="00204672">
              <w:rPr>
                <w:rFonts w:ascii="Arial" w:hAnsi="Arial" w:eastAsia="Arial" w:cs="Arial"/>
                <w:sz w:val="22"/>
                <w:szCs w:val="22"/>
                <w:bdr w:val="nil"/>
                <w:lang w:val="de-DE"/>
              </w:rPr>
              <w:t>sind</w:t>
            </w:r>
            <w:r>
              <w:rPr>
                <w:rFonts w:ascii="Arial" w:hAnsi="Arial" w:eastAsia="Arial" w:cs="Arial"/>
                <w:sz w:val="22"/>
                <w:szCs w:val="22"/>
                <w:bdr w:val="nil"/>
                <w:lang w:val="de-DE"/>
              </w:rPr>
              <w:t xml:space="preserve"> die Kriterien für das Ausüben dieser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en und Befugnisse </w:t>
            </w:r>
            <w:r w:rsidR="00204672">
              <w:rPr>
                <w:rFonts w:ascii="Arial" w:hAnsi="Arial" w:eastAsia="Arial" w:cs="Arial"/>
                <w:sz w:val="22"/>
                <w:szCs w:val="22"/>
                <w:bdr w:val="nil"/>
                <w:lang w:val="de-DE"/>
              </w:rPr>
              <w:t>von</w:t>
            </w:r>
            <w:r>
              <w:rPr>
                <w:rFonts w:ascii="Arial" w:hAnsi="Arial" w:eastAsia="Arial" w:cs="Arial"/>
                <w:sz w:val="22"/>
                <w:szCs w:val="22"/>
                <w:bdr w:val="nil"/>
                <w:lang w:val="de-DE"/>
              </w:rPr>
              <w:t xml:space="preserve"> Mandat</w:t>
            </w:r>
            <w:r w:rsidR="00204672">
              <w:rPr>
                <w:rFonts w:ascii="Arial" w:hAnsi="Arial" w:eastAsia="Arial" w:cs="Arial"/>
                <w:sz w:val="22"/>
                <w:szCs w:val="22"/>
                <w:bdr w:val="nil"/>
                <w:lang w:val="de-DE"/>
              </w:rPr>
              <w:t xml:space="preserve"> zu Mandat </w:t>
            </w:r>
            <w:r w:rsidR="00723DD6">
              <w:rPr>
                <w:rFonts w:ascii="Arial" w:hAnsi="Arial" w:eastAsia="Arial" w:cs="Arial"/>
                <w:sz w:val="22"/>
                <w:szCs w:val="22"/>
                <w:bdr w:val="nil"/>
                <w:lang w:val="de-DE"/>
              </w:rPr>
              <w:t>verschieden</w:t>
            </w:r>
            <w:r>
              <w:rPr>
                <w:rFonts w:ascii="Arial" w:hAnsi="Arial" w:eastAsia="Arial" w:cs="Arial"/>
                <w:sz w:val="22"/>
                <w:szCs w:val="22"/>
                <w:bdr w:val="nil"/>
                <w:lang w:val="de-DE"/>
              </w:rPr>
              <w:t xml:space="preserve">. Diese Unterschiede sollten abgeschafft werden, um </w:t>
            </w:r>
            <w:r w:rsidR="00204672">
              <w:rPr>
                <w:rFonts w:ascii="Arial" w:hAnsi="Arial" w:eastAsia="Arial" w:cs="Arial"/>
                <w:sz w:val="22"/>
                <w:szCs w:val="22"/>
                <w:bdr w:val="nil"/>
                <w:lang w:val="de-DE"/>
              </w:rPr>
              <w:t xml:space="preserve">wirksamen </w:t>
            </w:r>
            <w:r>
              <w:rPr>
                <w:rFonts w:ascii="Arial" w:hAnsi="Arial" w:eastAsia="Arial" w:cs="Arial"/>
                <w:sz w:val="22"/>
                <w:szCs w:val="22"/>
                <w:bdr w:val="nil"/>
                <w:lang w:val="de-DE"/>
              </w:rPr>
              <w:t xml:space="preserve">Schutz und </w:t>
            </w:r>
            <w:r w:rsidR="00204672">
              <w:rPr>
                <w:rFonts w:ascii="Arial" w:hAnsi="Arial" w:eastAsia="Arial" w:cs="Arial"/>
                <w:sz w:val="22"/>
                <w:szCs w:val="22"/>
                <w:bdr w:val="nil"/>
                <w:lang w:val="de-DE"/>
              </w:rPr>
              <w:t>Effektivität für alle</w:t>
            </w:r>
            <w:r>
              <w:rPr>
                <w:rFonts w:ascii="Arial" w:hAnsi="Arial" w:eastAsia="Arial" w:cs="Arial"/>
                <w:sz w:val="22"/>
                <w:szCs w:val="22"/>
                <w:bdr w:val="nil"/>
                <w:lang w:val="de-DE"/>
              </w:rPr>
              <w:t xml:space="preserve"> Mandate zu erreichen, und diese Harmonisierung sollte, sofern möglich, </w:t>
            </w:r>
            <w:r w:rsidR="00204672">
              <w:rPr>
                <w:rFonts w:ascii="Arial" w:hAnsi="Arial" w:eastAsia="Arial" w:cs="Arial"/>
                <w:sz w:val="22"/>
                <w:szCs w:val="22"/>
                <w:bdr w:val="nil"/>
                <w:lang w:val="de-DE"/>
              </w:rPr>
              <w:t>auf</w:t>
            </w:r>
            <w:r>
              <w:rPr>
                <w:rFonts w:ascii="Arial" w:hAnsi="Arial" w:eastAsia="Arial" w:cs="Arial"/>
                <w:sz w:val="22"/>
                <w:szCs w:val="22"/>
                <w:bdr w:val="nil"/>
                <w:lang w:val="de-DE"/>
              </w:rPr>
              <w:t xml:space="preserve"> den höchsten Standard erfolgen, d</w:t>
            </w:r>
            <w:r w:rsidR="00204672">
              <w:rPr>
                <w:rFonts w:ascii="Arial" w:hAnsi="Arial" w:eastAsia="Arial" w:cs="Arial"/>
                <w:sz w:val="22"/>
                <w:szCs w:val="22"/>
                <w:bdr w:val="nil"/>
                <w:lang w:val="de-DE"/>
              </w:rPr>
              <w:t>er</w:t>
            </w:r>
            <w:r>
              <w:rPr>
                <w:rFonts w:ascii="Arial" w:hAnsi="Arial" w:eastAsia="Arial" w:cs="Arial"/>
                <w:sz w:val="22"/>
                <w:szCs w:val="22"/>
                <w:bdr w:val="nil"/>
                <w:lang w:val="de-DE"/>
              </w:rPr>
              <w:t xml:space="preserve"> für </w:t>
            </w:r>
            <w:r w:rsidR="00204672">
              <w:rPr>
                <w:rFonts w:ascii="Arial" w:hAnsi="Arial" w:eastAsia="Arial" w:cs="Arial"/>
                <w:sz w:val="22"/>
                <w:szCs w:val="22"/>
                <w:bdr w:val="nil"/>
                <w:lang w:val="de-DE"/>
              </w:rPr>
              <w:t>eines der</w:t>
            </w:r>
            <w:r>
              <w:rPr>
                <w:rFonts w:ascii="Arial" w:hAnsi="Arial" w:eastAsia="Arial" w:cs="Arial"/>
                <w:sz w:val="22"/>
                <w:szCs w:val="22"/>
                <w:bdr w:val="nil"/>
                <w:lang w:val="de-DE"/>
              </w:rPr>
              <w:t xml:space="preserve"> unterschiedlichen Mandate verfügbar </w:t>
            </w:r>
            <w:r w:rsidR="00204672">
              <w:rPr>
                <w:rFonts w:ascii="Arial" w:hAnsi="Arial" w:eastAsia="Arial" w:cs="Arial"/>
                <w:sz w:val="22"/>
                <w:szCs w:val="22"/>
                <w:bdr w:val="nil"/>
                <w:lang w:val="de-DE"/>
              </w:rPr>
              <w:t>ist</w:t>
            </w:r>
            <w:r>
              <w:rPr>
                <w:rFonts w:ascii="Arial" w:hAnsi="Arial" w:eastAsia="Arial" w:cs="Arial"/>
                <w:sz w:val="22"/>
                <w:szCs w:val="22"/>
                <w:bdr w:val="nil"/>
                <w:lang w:val="de-DE"/>
              </w:rPr>
              <w:t xml:space="preserve"> („Angleichung</w:t>
            </w:r>
            <w:r w:rsidR="00204672">
              <w:rPr>
                <w:rFonts w:ascii="Arial" w:hAnsi="Arial" w:eastAsia="Arial" w:cs="Arial"/>
                <w:sz w:val="22"/>
                <w:szCs w:val="22"/>
                <w:bdr w:val="nil"/>
                <w:lang w:val="de-DE"/>
              </w:rPr>
              <w:t xml:space="preserve"> nach oben</w:t>
            </w:r>
            <w:r>
              <w:rPr>
                <w:rFonts w:ascii="Arial" w:hAnsi="Arial" w:eastAsia="Arial" w:cs="Arial"/>
                <w:sz w:val="22"/>
                <w:szCs w:val="22"/>
                <w:bdr w:val="nil"/>
                <w:lang w:val="de-DE"/>
              </w:rPr>
              <w:t>").</w:t>
            </w:r>
          </w:p>
        </w:tc>
      </w:tr>
      <w:tr w:rsidRPr="00046FAE" w:rsidR="00D8651C" w:rsidTr="00C0685F" w14:paraId="25B511A6" w14:textId="77777777">
        <w:trPr>
          <w:gridAfter w:val="1"/>
          <w:wAfter w:w="649" w:type="dxa"/>
          <w:trHeight w:val="1134"/>
        </w:trPr>
        <w:tc>
          <w:tcPr>
            <w:tcW w:w="0" w:type="auto"/>
          </w:tcPr>
          <w:p w:rsidRPr="006C29B1" w:rsidR="00DD016F" w:rsidP="004B73F0" w:rsidRDefault="00781974" w14:paraId="4EC63A3D" w14:textId="7770253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sich</w:t>
            </w:r>
            <w:r w:rsidR="00EA4A83">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 sofern es mehrere gibt</w:t>
            </w:r>
            <w:r w:rsidR="00EA4A83">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 </w:t>
            </w:r>
            <w:r w:rsidR="00204672">
              <w:rPr>
                <w:rFonts w:ascii="Arial" w:hAnsi="Arial" w:eastAsia="Arial" w:cs="Arial"/>
                <w:sz w:val="22"/>
                <w:szCs w:val="22"/>
                <w:bdr w:val="nil"/>
                <w:lang w:val="de-DE"/>
              </w:rPr>
              <w:t>untereinander und mit anderen</w:t>
            </w:r>
            <w:r w:rsidR="0078680C">
              <w:rPr>
                <w:rFonts w:ascii="Arial" w:hAnsi="Arial" w:eastAsia="Arial" w:cs="Arial"/>
                <w:sz w:val="22"/>
                <w:szCs w:val="22"/>
                <w:bdr w:val="nil"/>
                <w:lang w:val="de-DE"/>
              </w:rPr>
              <w:t xml:space="preserve"> Menschenrechtsinstitutionen</w:t>
            </w:r>
            <w:r w:rsidR="00204672">
              <w:rPr>
                <w:rFonts w:ascii="Arial" w:hAnsi="Arial" w:eastAsia="Arial" w:cs="Arial"/>
                <w:sz w:val="22"/>
                <w:szCs w:val="22"/>
                <w:bdr w:val="nil"/>
                <w:lang w:val="de-DE"/>
              </w:rPr>
              <w:t xml:space="preserve"> einschließlich</w:t>
            </w:r>
            <w:r w:rsidR="0078680C">
              <w:rPr>
                <w:rFonts w:ascii="Arial" w:hAnsi="Arial" w:eastAsia="Arial" w:cs="Arial"/>
                <w:sz w:val="22"/>
                <w:szCs w:val="22"/>
                <w:bdr w:val="nil"/>
                <w:lang w:val="de-DE"/>
              </w:rPr>
              <w:t xml:space="preserve"> nationale</w:t>
            </w:r>
            <w:r w:rsidR="00EA4A83">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Menschenrechtsinstitutionen und Ombudspersonen</w:t>
            </w:r>
            <w:r w:rsidR="00204672">
              <w:rPr>
                <w:rFonts w:ascii="Arial" w:hAnsi="Arial" w:eastAsia="Arial" w:cs="Arial"/>
                <w:sz w:val="22"/>
                <w:szCs w:val="22"/>
                <w:bdr w:val="nil"/>
                <w:lang w:val="de-DE"/>
              </w:rPr>
              <w:t xml:space="preserve"> </w:t>
            </w:r>
            <w:r w:rsidRPr="00EA4A83" w:rsidR="00EA4A83">
              <w:rPr>
                <w:rFonts w:ascii="Arial" w:hAnsi="Arial" w:eastAsia="Arial" w:cs="Arial"/>
                <w:sz w:val="22"/>
                <w:szCs w:val="22"/>
                <w:bdr w:val="nil"/>
                <w:lang w:val="de-DE"/>
              </w:rPr>
              <w:t>abstimmen und zusammenarbeiten</w:t>
            </w:r>
            <w:r w:rsidR="0078680C">
              <w:rPr>
                <w:rFonts w:ascii="Arial" w:hAnsi="Arial" w:eastAsia="Arial" w:cs="Arial"/>
                <w:sz w:val="22"/>
                <w:szCs w:val="22"/>
                <w:bdr w:val="nil"/>
                <w:lang w:val="de-DE"/>
              </w:rPr>
              <w:t xml:space="preserve">. Diese Koordinierung und </w:t>
            </w:r>
            <w:r w:rsidR="00204672">
              <w:rPr>
                <w:rFonts w:ascii="Arial" w:hAnsi="Arial" w:eastAsia="Arial" w:cs="Arial"/>
                <w:sz w:val="22"/>
                <w:szCs w:val="22"/>
                <w:bdr w:val="nil"/>
                <w:lang w:val="de-DE"/>
              </w:rPr>
              <w:t xml:space="preserve">Zusammenarbeit </w:t>
            </w:r>
            <w:r w:rsidR="0078680C">
              <w:rPr>
                <w:rFonts w:ascii="Arial" w:hAnsi="Arial" w:eastAsia="Arial" w:cs="Arial"/>
                <w:sz w:val="22"/>
                <w:szCs w:val="22"/>
                <w:bdr w:val="nil"/>
                <w:lang w:val="de-DE"/>
              </w:rPr>
              <w:t xml:space="preserve">sollte </w:t>
            </w:r>
            <w:r w:rsidR="00204672">
              <w:rPr>
                <w:rFonts w:ascii="Arial" w:hAnsi="Arial" w:eastAsia="Arial" w:cs="Arial"/>
                <w:sz w:val="22"/>
                <w:szCs w:val="22"/>
                <w:bdr w:val="nil"/>
                <w:lang w:val="de-DE"/>
              </w:rPr>
              <w:t>darauf abzielen</w:t>
            </w:r>
            <w:r w:rsidR="0078680C">
              <w:rPr>
                <w:rFonts w:ascii="Arial" w:hAnsi="Arial" w:eastAsia="Arial" w:cs="Arial"/>
                <w:sz w:val="22"/>
                <w:szCs w:val="22"/>
                <w:bdr w:val="nil"/>
                <w:lang w:val="de-DE"/>
              </w:rPr>
              <w:t xml:space="preserve">, ihre </w:t>
            </w:r>
            <w:r w:rsidR="00EA4A83">
              <w:rPr>
                <w:rFonts w:ascii="Arial" w:hAnsi="Arial" w:eastAsia="Arial" w:cs="Arial"/>
                <w:sz w:val="22"/>
                <w:szCs w:val="22"/>
                <w:bdr w:val="nil"/>
                <w:lang w:val="de-DE"/>
              </w:rPr>
              <w:t xml:space="preserve">Gesamtwirksamkeit </w:t>
            </w:r>
            <w:r w:rsidR="0078680C">
              <w:rPr>
                <w:rFonts w:ascii="Arial" w:hAnsi="Arial" w:eastAsia="Arial" w:cs="Arial"/>
                <w:sz w:val="22"/>
                <w:szCs w:val="22"/>
                <w:bdr w:val="nil"/>
                <w:lang w:val="de-DE"/>
              </w:rPr>
              <w:t xml:space="preserve">in Bezug auf das </w:t>
            </w:r>
            <w:r w:rsidR="00E3434C">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smandat zu maximieren. Sie sollten außerdem sicherstellen, dass </w:t>
            </w:r>
            <w:r w:rsidR="00204672">
              <w:rPr>
                <w:rFonts w:ascii="Arial" w:hAnsi="Arial" w:eastAsia="Arial" w:cs="Arial"/>
                <w:sz w:val="22"/>
                <w:szCs w:val="22"/>
                <w:bdr w:val="nil"/>
                <w:lang w:val="de-DE"/>
              </w:rPr>
              <w:t>Gleichheitsfragen möglichst umfassend abgedeckt werden</w:t>
            </w:r>
            <w:r w:rsidR="0078680C">
              <w:rPr>
                <w:rFonts w:ascii="Arial" w:hAnsi="Arial" w:eastAsia="Arial" w:cs="Arial"/>
                <w:sz w:val="22"/>
                <w:szCs w:val="22"/>
                <w:bdr w:val="nil"/>
                <w:lang w:val="de-DE"/>
              </w:rPr>
              <w:t>, Fragen der Intersektionalität gebührend berücksichtigt</w:t>
            </w:r>
            <w:r w:rsidR="00204672">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Fälle querverwiesen und keine doppelten Arbeiten durchgeführt werden. Diese Koordinierung und </w:t>
            </w:r>
            <w:r w:rsidR="00204672">
              <w:rPr>
                <w:rFonts w:ascii="Arial" w:hAnsi="Arial" w:eastAsia="Arial" w:cs="Arial"/>
                <w:sz w:val="22"/>
                <w:szCs w:val="22"/>
                <w:bdr w:val="nil"/>
                <w:lang w:val="de-DE"/>
              </w:rPr>
              <w:t xml:space="preserve">Zusammenarbeit umfasst </w:t>
            </w:r>
            <w:r w:rsidR="0078680C">
              <w:rPr>
                <w:rFonts w:ascii="Arial" w:hAnsi="Arial" w:eastAsia="Arial" w:cs="Arial"/>
                <w:sz w:val="22"/>
                <w:szCs w:val="22"/>
                <w:bdr w:val="nil"/>
                <w:lang w:val="de-DE"/>
              </w:rPr>
              <w:t xml:space="preserve">einen Dialog </w:t>
            </w:r>
            <w:r w:rsidR="00204672">
              <w:rPr>
                <w:rFonts w:ascii="Arial" w:hAnsi="Arial" w:eastAsia="Arial" w:cs="Arial"/>
                <w:sz w:val="22"/>
                <w:szCs w:val="22"/>
                <w:bdr w:val="nil"/>
                <w:lang w:val="de-DE"/>
              </w:rPr>
              <w:t xml:space="preserve">in </w:t>
            </w:r>
            <w:r w:rsidR="00EA4A83">
              <w:rPr>
                <w:rFonts w:ascii="Arial" w:hAnsi="Arial" w:eastAsia="Arial" w:cs="Arial"/>
                <w:sz w:val="22"/>
                <w:szCs w:val="22"/>
                <w:bdr w:val="nil"/>
                <w:lang w:val="de-DE"/>
              </w:rPr>
              <w:t>ihr</w:t>
            </w:r>
            <w:r w:rsidR="00204672">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Planungsprozesse</w:t>
            </w:r>
            <w:r w:rsidR="00204672">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gemeinsame Arbeitsinitiativen und eine </w:t>
            </w:r>
            <w:r w:rsidR="00EA4A83">
              <w:rPr>
                <w:rFonts w:ascii="Arial" w:hAnsi="Arial" w:eastAsia="Arial" w:cs="Arial"/>
                <w:sz w:val="22"/>
                <w:szCs w:val="22"/>
                <w:bdr w:val="nil"/>
                <w:lang w:val="de-DE"/>
              </w:rPr>
              <w:t>kontinuierliche</w:t>
            </w:r>
            <w:r w:rsidR="0078680C">
              <w:rPr>
                <w:rFonts w:ascii="Arial" w:hAnsi="Arial" w:eastAsia="Arial" w:cs="Arial"/>
                <w:sz w:val="22"/>
                <w:szCs w:val="22"/>
                <w:bdr w:val="nil"/>
                <w:lang w:val="de-DE"/>
              </w:rPr>
              <w:t xml:space="preserve"> Kommunikation.</w:t>
            </w:r>
          </w:p>
        </w:tc>
      </w:tr>
      <w:tr w:rsidR="00D8651C" w:rsidTr="00C0685F" w14:paraId="7FC5700F" w14:textId="77777777">
        <w:trPr>
          <w:gridAfter w:val="1"/>
          <w:wAfter w:w="649" w:type="dxa"/>
        </w:trPr>
        <w:tc>
          <w:tcPr>
            <w:tcW w:w="0" w:type="auto"/>
          </w:tcPr>
          <w:p w:rsidRPr="006353CB" w:rsidR="00DD016F" w:rsidP="004B73F0" w:rsidRDefault="00C90BFE" w14:paraId="07DB3679" w14:textId="46E7699D">
            <w:pPr>
              <w:pStyle w:val="berschrift11"/>
              <w:numPr>
                <w:ilvl w:val="0"/>
                <w:numId w:val="30"/>
              </w:numPr>
              <w:spacing w:before="100" w:beforeAutospacing="1" w:after="100" w:afterAutospacing="1" w:line="240" w:lineRule="exact"/>
              <w:ind w:left="743"/>
              <w:rPr>
                <w:rFonts w:ascii="Arial" w:hAnsi="Arial" w:cs="Arial"/>
                <w:szCs w:val="22"/>
              </w:rPr>
            </w:pPr>
            <w:r>
              <w:rPr>
                <w:rFonts w:ascii="Arial" w:hAnsi="Arial" w:eastAsia="Arial" w:cs="Arial"/>
                <w:bCs/>
                <w:szCs w:val="22"/>
                <w:bdr w:val="nil"/>
                <w:lang w:val="de-DE"/>
              </w:rPr>
              <w:lastRenderedPageBreak/>
              <w:t>Funktione</w:t>
            </w:r>
            <w:r w:rsidR="0078680C">
              <w:rPr>
                <w:rFonts w:ascii="Arial" w:hAnsi="Arial" w:eastAsia="Arial" w:cs="Arial"/>
                <w:bCs/>
                <w:szCs w:val="22"/>
                <w:bdr w:val="nil"/>
                <w:lang w:val="de-DE"/>
              </w:rPr>
              <w:t>n</w:t>
            </w:r>
          </w:p>
        </w:tc>
      </w:tr>
      <w:tr w:rsidRPr="00046FAE" w:rsidR="00D8651C" w:rsidTr="00C0685F" w14:paraId="648B8E80" w14:textId="77777777">
        <w:trPr>
          <w:gridAfter w:val="1"/>
          <w:wAfter w:w="649" w:type="dxa"/>
          <w:trHeight w:val="558"/>
        </w:trPr>
        <w:tc>
          <w:tcPr>
            <w:tcW w:w="0" w:type="auto"/>
          </w:tcPr>
          <w:p w:rsidRPr="006353CB" w:rsidR="00DD016F" w:rsidP="004B73F0" w:rsidRDefault="00D4725B" w14:paraId="5468E0D1" w14:textId="77015AA6">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_Ref486586451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10</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_Ref484017007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12</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4B73F0" w:rsidRDefault="00781974" w14:paraId="56858505" w14:textId="06312FC5">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erfüllen unterschiedliche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n. Drei Haupt</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n können her</w:t>
            </w:r>
            <w:r w:rsidR="008A1AFD">
              <w:rPr>
                <w:rFonts w:ascii="Arial" w:hAnsi="Arial" w:eastAsia="Arial" w:cs="Arial"/>
                <w:sz w:val="22"/>
                <w:szCs w:val="22"/>
                <w:bdr w:val="nil"/>
                <w:lang w:val="de-DE"/>
              </w:rPr>
              <w:t>ausgearbeitet</w:t>
            </w:r>
            <w:r w:rsidR="0078680C">
              <w:rPr>
                <w:rFonts w:ascii="Arial" w:hAnsi="Arial" w:eastAsia="Arial" w:cs="Arial"/>
                <w:sz w:val="22"/>
                <w:szCs w:val="22"/>
                <w:bdr w:val="nil"/>
                <w:lang w:val="de-DE"/>
              </w:rPr>
              <w:t xml:space="preserve"> werden, für die die</w:t>
            </w:r>
            <w:r w:rsidR="00717C12">
              <w:rPr>
                <w:rFonts w:ascii="Arial" w:hAnsi="Arial" w:eastAsia="Arial" w:cs="Arial"/>
                <w:sz w:val="22"/>
                <w:szCs w:val="22"/>
                <w:bdr w:val="nil"/>
                <w:lang w:val="de-DE"/>
              </w:rPr>
              <w:t>se</w:t>
            </w:r>
            <w:r w:rsidR="0078680C">
              <w:rPr>
                <w:rFonts w:ascii="Arial" w:hAnsi="Arial" w:eastAsia="Arial" w:cs="Arial"/>
                <w:sz w:val="22"/>
                <w:szCs w:val="22"/>
                <w:bdr w:val="nil"/>
                <w:lang w:val="de-DE"/>
              </w:rPr>
              <w:t xml:space="preserve"> A</w:t>
            </w:r>
            <w:r w:rsidR="00717C12">
              <w:rPr>
                <w:rFonts w:ascii="Arial" w:hAnsi="Arial" w:eastAsia="Arial" w:cs="Arial"/>
                <w:sz w:val="22"/>
                <w:szCs w:val="22"/>
                <w:bdr w:val="nil"/>
                <w:lang w:val="de-DE"/>
              </w:rPr>
              <w:t>PE</w:t>
            </w:r>
            <w:r w:rsidR="0078680C">
              <w:rPr>
                <w:rFonts w:ascii="Arial" w:hAnsi="Arial" w:eastAsia="Arial" w:cs="Arial"/>
                <w:sz w:val="22"/>
                <w:szCs w:val="22"/>
                <w:bdr w:val="nil"/>
                <w:lang w:val="de-DE"/>
              </w:rPr>
              <w:t xml:space="preserve"> die folgenden </w:t>
            </w:r>
            <w:r w:rsidR="00EA4A83">
              <w:rPr>
                <w:rFonts w:ascii="Arial" w:hAnsi="Arial" w:eastAsia="Arial" w:cs="Arial"/>
                <w:sz w:val="22"/>
                <w:szCs w:val="22"/>
                <w:bdr w:val="nil"/>
                <w:lang w:val="de-DE"/>
              </w:rPr>
              <w:t xml:space="preserve">Bezeichnungen </w:t>
            </w:r>
            <w:r w:rsidR="0078680C">
              <w:rPr>
                <w:rFonts w:ascii="Arial" w:hAnsi="Arial" w:eastAsia="Arial" w:cs="Arial"/>
                <w:sz w:val="22"/>
                <w:szCs w:val="22"/>
                <w:bdr w:val="nil"/>
                <w:lang w:val="de-DE"/>
              </w:rPr>
              <w:t>verwendet: (i)</w:t>
            </w:r>
            <w:r w:rsidR="00EA4A83">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Förderung der </w:t>
            </w:r>
            <w:r w:rsidR="00E3434C">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 und Prävention von Diskriminierung (Förderung</w:t>
            </w:r>
            <w:r w:rsidR="008A1AFD">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Prävention</w:t>
            </w:r>
            <w:r w:rsidR="008A1AFD">
              <w:rPr>
                <w:rFonts w:ascii="Arial" w:hAnsi="Arial" w:eastAsia="Arial" w:cs="Arial"/>
                <w:sz w:val="22"/>
                <w:szCs w:val="22"/>
                <w:bdr w:val="nil"/>
                <w:lang w:val="de-DE"/>
              </w:rPr>
              <w:t>sfunktion</w:t>
            </w:r>
            <w:r w:rsidR="0078680C">
              <w:rPr>
                <w:rFonts w:ascii="Arial" w:hAnsi="Arial" w:eastAsia="Arial" w:cs="Arial"/>
                <w:sz w:val="22"/>
                <w:szCs w:val="22"/>
                <w:bdr w:val="nil"/>
                <w:lang w:val="de-DE"/>
              </w:rPr>
              <w:t>), (ii) Unterstützung von Menschen, die Diskriminierung und Intoleranz ausgesetzt sind, und Durchsetzung von Rechten in ihrem Namen (Unterstützung</w:t>
            </w:r>
            <w:r w:rsidR="008A1AFD">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w:t>
            </w:r>
            <w:r w:rsidR="008A1AFD">
              <w:rPr>
                <w:rFonts w:ascii="Arial" w:hAnsi="Arial" w:eastAsia="Arial" w:cs="Arial"/>
                <w:sz w:val="22"/>
                <w:szCs w:val="22"/>
                <w:bdr w:val="nil"/>
                <w:lang w:val="de-DE"/>
              </w:rPr>
              <w:t>Rechtsd</w:t>
            </w:r>
            <w:r w:rsidR="0078680C">
              <w:rPr>
                <w:rFonts w:ascii="Arial" w:hAnsi="Arial" w:eastAsia="Arial" w:cs="Arial"/>
                <w:sz w:val="22"/>
                <w:szCs w:val="22"/>
                <w:bdr w:val="nil"/>
                <w:lang w:val="de-DE"/>
              </w:rPr>
              <w:t>urchsetzung</w:t>
            </w:r>
            <w:r w:rsidR="008A1AFD">
              <w:rPr>
                <w:rFonts w:ascii="Arial" w:hAnsi="Arial" w:eastAsia="Arial" w:cs="Arial"/>
                <w:sz w:val="22"/>
                <w:szCs w:val="22"/>
                <w:bdr w:val="nil"/>
                <w:lang w:val="de-DE"/>
              </w:rPr>
              <w:t>sfunktion</w:t>
            </w:r>
            <w:r w:rsidR="0078680C">
              <w:rPr>
                <w:rFonts w:ascii="Arial" w:hAnsi="Arial" w:eastAsia="Arial" w:cs="Arial"/>
                <w:sz w:val="22"/>
                <w:szCs w:val="22"/>
                <w:bdr w:val="nil"/>
                <w:lang w:val="de-DE"/>
              </w:rPr>
              <w:t>) und (iii) Entscheidung</w:t>
            </w:r>
            <w:r w:rsidR="008A1AFD">
              <w:rPr>
                <w:rFonts w:ascii="Arial" w:hAnsi="Arial" w:eastAsia="Arial" w:cs="Arial"/>
                <w:sz w:val="22"/>
                <w:szCs w:val="22"/>
                <w:bdr w:val="nil"/>
                <w:lang w:val="de-DE"/>
              </w:rPr>
              <w:t xml:space="preserve"> über</w:t>
            </w:r>
            <w:r w:rsidR="0078680C">
              <w:rPr>
                <w:rFonts w:ascii="Arial" w:hAnsi="Arial" w:eastAsia="Arial" w:cs="Arial"/>
                <w:sz w:val="22"/>
                <w:szCs w:val="22"/>
                <w:bdr w:val="nil"/>
                <w:lang w:val="de-DE"/>
              </w:rPr>
              <w:t xml:space="preserve"> Beschwerden (Entscheidungs</w:t>
            </w:r>
            <w:r w:rsidR="008A1AFD">
              <w:rPr>
                <w:rFonts w:ascii="Arial" w:hAnsi="Arial" w:eastAsia="Arial" w:cs="Arial"/>
                <w:sz w:val="22"/>
                <w:szCs w:val="22"/>
                <w:bdr w:val="nil"/>
                <w:lang w:val="de-DE"/>
              </w:rPr>
              <w:t>funktion</w:t>
            </w:r>
            <w:r w:rsidR="0078680C">
              <w:rPr>
                <w:rFonts w:ascii="Arial" w:hAnsi="Arial" w:eastAsia="Arial" w:cs="Arial"/>
                <w:sz w:val="22"/>
                <w:szCs w:val="22"/>
                <w:bdr w:val="nil"/>
                <w:lang w:val="de-DE"/>
              </w:rPr>
              <w:t xml:space="preserve">). </w:t>
            </w:r>
          </w:p>
          <w:p w:rsidRPr="00C0685F" w:rsidR="00DD016F" w:rsidP="004B73F0" w:rsidRDefault="0078680C" w14:paraId="5B4CFB83" w14:textId="19740FF4">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Wie in den Länderberichten von ECRI dokumentiert, ist die Situation in den Mitgliedstaaten auch in Bezug auf diese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n</w:t>
            </w:r>
            <w:r w:rsidR="008A1AFD">
              <w:rPr>
                <w:rFonts w:ascii="Arial" w:hAnsi="Arial" w:eastAsia="Arial" w:cs="Arial"/>
                <w:sz w:val="22"/>
                <w:szCs w:val="22"/>
                <w:bdr w:val="nil"/>
                <w:lang w:val="de-DE"/>
              </w:rPr>
              <w:t xml:space="preserve"> unterschiedlich</w:t>
            </w:r>
            <w:r>
              <w:rPr>
                <w:rFonts w:ascii="Arial" w:hAnsi="Arial" w:eastAsia="Arial" w:cs="Arial"/>
                <w:sz w:val="22"/>
                <w:szCs w:val="22"/>
                <w:bdr w:val="nil"/>
                <w:lang w:val="de-DE"/>
              </w:rPr>
              <w:t xml:space="preserve">: in einigen Mitgliedstaaten wurden alle drei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übertragen, in anderen nur eine oder zwei. Während einige Mitgliedstaaten alle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derselben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übertragen haben, haben andere diese auf verschiedene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aufgeteilt. In mehreren Mitgliedstaaten </w:t>
            </w:r>
            <w:r w:rsidR="008A1AFD">
              <w:rPr>
                <w:rFonts w:ascii="Arial" w:hAnsi="Arial" w:eastAsia="Arial" w:cs="Arial"/>
                <w:sz w:val="22"/>
                <w:szCs w:val="22"/>
                <w:bdr w:val="nil"/>
                <w:lang w:val="de-DE"/>
              </w:rPr>
              <w:t xml:space="preserve">ist </w:t>
            </w:r>
            <w:r>
              <w:rPr>
                <w:rFonts w:ascii="Arial" w:hAnsi="Arial" w:eastAsia="Arial" w:cs="Arial"/>
                <w:sz w:val="22"/>
                <w:szCs w:val="22"/>
                <w:bdr w:val="nil"/>
                <w:lang w:val="de-DE"/>
              </w:rPr>
              <w:t>die Entscheidungs</w:t>
            </w:r>
            <w:r w:rsidR="008A1AFD">
              <w:rPr>
                <w:rFonts w:ascii="Arial" w:hAnsi="Arial" w:eastAsia="Arial" w:cs="Arial"/>
                <w:sz w:val="22"/>
                <w:szCs w:val="22"/>
                <w:bdr w:val="nil"/>
                <w:lang w:val="de-DE"/>
              </w:rPr>
              <w:t>funktion</w:t>
            </w:r>
            <w:r>
              <w:rPr>
                <w:rFonts w:ascii="Arial" w:hAnsi="Arial" w:eastAsia="Arial" w:cs="Arial"/>
                <w:sz w:val="22"/>
                <w:szCs w:val="22"/>
                <w:bdr w:val="nil"/>
                <w:lang w:val="de-DE"/>
              </w:rPr>
              <w:t xml:space="preserve"> ausschließlich der Justiz</w:t>
            </w:r>
            <w:r w:rsidR="008A1AFD">
              <w:rPr>
                <w:rFonts w:ascii="Arial" w:hAnsi="Arial" w:eastAsia="Arial" w:cs="Arial"/>
                <w:sz w:val="22"/>
                <w:szCs w:val="22"/>
                <w:bdr w:val="nil"/>
                <w:lang w:val="de-DE"/>
              </w:rPr>
              <w:t xml:space="preserve"> übertragen</w:t>
            </w:r>
            <w:r>
              <w:rPr>
                <w:rFonts w:ascii="Arial" w:hAnsi="Arial" w:eastAsia="Arial" w:cs="Arial"/>
                <w:sz w:val="22"/>
                <w:szCs w:val="22"/>
                <w:bdr w:val="nil"/>
                <w:lang w:val="de-DE"/>
              </w:rPr>
              <w:t>; in anderen wurde</w:t>
            </w:r>
            <w:r w:rsidR="00EA4A83">
              <w:rPr>
                <w:rFonts w:ascii="Arial" w:hAnsi="Arial" w:eastAsia="Arial" w:cs="Arial"/>
                <w:sz w:val="22"/>
                <w:szCs w:val="22"/>
                <w:bdr w:val="nil"/>
                <w:lang w:val="de-DE"/>
              </w:rPr>
              <w:t>n</w:t>
            </w:r>
            <w:r>
              <w:rPr>
                <w:rFonts w:ascii="Arial" w:hAnsi="Arial" w:eastAsia="Arial" w:cs="Arial"/>
                <w:sz w:val="22"/>
                <w:szCs w:val="22"/>
                <w:bdr w:val="nil"/>
                <w:lang w:val="de-DE"/>
              </w:rPr>
              <w:t xml:space="preserve"> die </w:t>
            </w:r>
            <w:r w:rsidRPr="008A1AFD" w:rsidR="008A1AFD">
              <w:rPr>
                <w:rFonts w:ascii="Arial" w:hAnsi="Arial" w:eastAsia="Arial" w:cs="Arial"/>
                <w:sz w:val="22"/>
                <w:szCs w:val="22"/>
                <w:bdr w:val="nil"/>
                <w:lang w:val="de-DE"/>
              </w:rPr>
              <w:t>Unterstützungs- und Rechtsdurchsetzungsfunktion</w:t>
            </w:r>
            <w:r w:rsidRPr="008A1AFD" w:rsidDel="00C90BFE" w:rsidR="008A1AFD">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und die </w:t>
            </w:r>
            <w:r w:rsidRPr="008A1AFD" w:rsidR="008A1AFD">
              <w:rPr>
                <w:rFonts w:ascii="Arial" w:hAnsi="Arial" w:eastAsia="Arial" w:cs="Arial"/>
                <w:sz w:val="22"/>
                <w:szCs w:val="22"/>
                <w:bdr w:val="nil"/>
                <w:lang w:val="de-DE"/>
              </w:rPr>
              <w:t>Förderung</w:t>
            </w:r>
            <w:r w:rsidR="008A1AFD">
              <w:rPr>
                <w:rFonts w:ascii="Arial" w:hAnsi="Arial" w:eastAsia="Arial" w:cs="Arial"/>
                <w:sz w:val="22"/>
                <w:szCs w:val="22"/>
                <w:bdr w:val="nil"/>
                <w:lang w:val="de-DE"/>
              </w:rPr>
              <w:t>s</w:t>
            </w:r>
            <w:r w:rsidRPr="008A1AFD" w:rsidR="008A1AFD">
              <w:rPr>
                <w:rFonts w:ascii="Arial" w:hAnsi="Arial" w:eastAsia="Arial" w:cs="Arial"/>
                <w:sz w:val="22"/>
                <w:szCs w:val="22"/>
                <w:bdr w:val="nil"/>
                <w:lang w:val="de-DE"/>
              </w:rPr>
              <w:t>- und Präventionsfunktion</w:t>
            </w:r>
            <w:r>
              <w:rPr>
                <w:rFonts w:ascii="Arial" w:hAnsi="Arial" w:eastAsia="Arial" w:cs="Arial"/>
                <w:sz w:val="22"/>
                <w:szCs w:val="22"/>
                <w:bdr w:val="nil"/>
                <w:lang w:val="de-DE"/>
              </w:rPr>
              <w:t xml:space="preserve"> teilweise oder ganz der Zivilgesellschaft oder anderen Institutionen übertragen. Regierung und Behörden </w:t>
            </w:r>
            <w:r w:rsidR="008A1AFD">
              <w:rPr>
                <w:rFonts w:ascii="Arial" w:hAnsi="Arial" w:eastAsia="Arial" w:cs="Arial"/>
                <w:sz w:val="22"/>
                <w:szCs w:val="22"/>
                <w:bdr w:val="nil"/>
                <w:lang w:val="de-DE"/>
              </w:rPr>
              <w:t xml:space="preserve">leisten </w:t>
            </w:r>
            <w:r w:rsidR="00EA4A83">
              <w:rPr>
                <w:rFonts w:ascii="Arial" w:hAnsi="Arial" w:eastAsia="Arial" w:cs="Arial"/>
                <w:sz w:val="22"/>
                <w:szCs w:val="22"/>
                <w:bdr w:val="nil"/>
                <w:lang w:val="de-DE"/>
              </w:rPr>
              <w:t>ebenfalls</w:t>
            </w:r>
            <w:r w:rsidR="008A1AFD">
              <w:rPr>
                <w:rFonts w:ascii="Arial" w:hAnsi="Arial" w:eastAsia="Arial" w:cs="Arial"/>
                <w:sz w:val="22"/>
                <w:szCs w:val="22"/>
                <w:bdr w:val="nil"/>
                <w:lang w:val="de-DE"/>
              </w:rPr>
              <w:t xml:space="preserve"> einen wesentlichen Beitrag zur Förderungs- und Präventionsfunktion. </w:t>
            </w:r>
          </w:p>
          <w:p w:rsidRPr="006C29B1" w:rsidR="00DD016F" w:rsidP="004B73F0" w:rsidRDefault="0078680C" w14:paraId="3359C39B" w14:textId="7DBFA75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ECRI </w:t>
            </w:r>
            <w:r w:rsidR="008A1AFD">
              <w:rPr>
                <w:rFonts w:ascii="Arial" w:hAnsi="Arial" w:eastAsia="Arial" w:cs="Arial"/>
                <w:sz w:val="22"/>
                <w:szCs w:val="22"/>
                <w:bdr w:val="nil"/>
                <w:lang w:val="de-DE"/>
              </w:rPr>
              <w:t>ist</w:t>
            </w:r>
            <w:r w:rsidR="00B24624">
              <w:rPr>
                <w:rFonts w:ascii="Arial" w:hAnsi="Arial" w:eastAsia="Arial" w:cs="Arial"/>
                <w:sz w:val="22"/>
                <w:szCs w:val="22"/>
                <w:bdr w:val="nil"/>
                <w:lang w:val="de-DE"/>
              </w:rPr>
              <w:t xml:space="preserve"> </w:t>
            </w:r>
            <w:r w:rsidRPr="00B24624" w:rsidR="00B24624">
              <w:rPr>
                <w:rFonts w:ascii="Arial" w:hAnsi="Arial" w:eastAsia="Arial" w:cs="Arial"/>
                <w:sz w:val="22"/>
                <w:szCs w:val="22"/>
                <w:bdr w:val="nil"/>
                <w:lang w:val="de-DE"/>
              </w:rPr>
              <w:t>der Ansicht</w:t>
            </w:r>
            <w:r w:rsidR="00B24624">
              <w:rPr>
                <w:rFonts w:ascii="Arial" w:hAnsi="Arial" w:eastAsia="Arial" w:cs="Arial"/>
                <w:sz w:val="22"/>
                <w:szCs w:val="22"/>
                <w:bdr w:val="nil"/>
                <w:lang w:val="de-DE"/>
              </w:rPr>
              <w:t xml:space="preserve"> – und hatte dies</w:t>
            </w:r>
            <w:r>
              <w:rPr>
                <w:rFonts w:ascii="Arial" w:hAnsi="Arial" w:eastAsia="Arial" w:cs="Arial"/>
                <w:sz w:val="22"/>
                <w:szCs w:val="22"/>
                <w:bdr w:val="nil"/>
                <w:lang w:val="de-DE"/>
              </w:rPr>
              <w:t xml:space="preserve"> </w:t>
            </w:r>
            <w:r w:rsidR="008A1AFD">
              <w:rPr>
                <w:rFonts w:ascii="Arial" w:hAnsi="Arial" w:eastAsia="Arial" w:cs="Arial"/>
                <w:sz w:val="22"/>
                <w:szCs w:val="22"/>
                <w:bdr w:val="nil"/>
                <w:lang w:val="de-DE"/>
              </w:rPr>
              <w:t xml:space="preserve">schon </w:t>
            </w:r>
            <w:r>
              <w:rPr>
                <w:rFonts w:ascii="Arial" w:hAnsi="Arial" w:eastAsia="Arial" w:cs="Arial"/>
                <w:sz w:val="22"/>
                <w:szCs w:val="22"/>
                <w:bdr w:val="nil"/>
                <w:lang w:val="de-DE"/>
              </w:rPr>
              <w:t xml:space="preserve">in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24 ihrer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7 empfohlen</w:t>
            </w:r>
            <w:r w:rsidR="00B24624">
              <w:rPr>
                <w:rFonts w:ascii="Arial" w:hAnsi="Arial" w:eastAsia="Arial" w:cs="Arial"/>
                <w:sz w:val="22"/>
                <w:szCs w:val="22"/>
                <w:bdr w:val="nil"/>
                <w:lang w:val="de-DE"/>
              </w:rPr>
              <w:t xml:space="preserve"> -</w:t>
            </w:r>
            <w:r w:rsidR="008A1AFD">
              <w:rPr>
                <w:rFonts w:ascii="Arial" w:hAnsi="Arial" w:eastAsia="Arial" w:cs="Arial"/>
                <w:sz w:val="22"/>
                <w:szCs w:val="22"/>
                <w:bdr w:val="nil"/>
                <w:lang w:val="de-DE"/>
              </w:rPr>
              <w:t xml:space="preserve"> </w:t>
            </w:r>
            <w:r>
              <w:rPr>
                <w:rFonts w:ascii="Arial" w:hAnsi="Arial" w:eastAsia="Arial" w:cs="Arial"/>
                <w:sz w:val="22"/>
                <w:szCs w:val="22"/>
                <w:bdr w:val="nil"/>
                <w:lang w:val="de-DE"/>
              </w:rPr>
              <w:t>dass alle Mitgli</w:t>
            </w:r>
            <w:r w:rsidR="00017082">
              <w:rPr>
                <w:rFonts w:ascii="Arial" w:hAnsi="Arial" w:eastAsia="Arial" w:cs="Arial"/>
                <w:sz w:val="22"/>
                <w:szCs w:val="22"/>
                <w:bdr w:val="nil"/>
                <w:lang w:val="de-DE"/>
              </w:rPr>
              <w:t xml:space="preserve">edstaaten </w:t>
            </w:r>
            <w:r w:rsidR="00B24624">
              <w:rPr>
                <w:rFonts w:ascii="Arial" w:hAnsi="Arial" w:eastAsia="Arial" w:cs="Arial"/>
                <w:sz w:val="22"/>
                <w:szCs w:val="22"/>
                <w:bdr w:val="nil"/>
                <w:lang w:val="de-DE"/>
              </w:rPr>
              <w:t xml:space="preserve">den Gleichheitsstellen </w:t>
            </w:r>
            <w:r w:rsidR="00017082">
              <w:rPr>
                <w:rFonts w:ascii="Arial" w:hAnsi="Arial" w:eastAsia="Arial" w:cs="Arial"/>
                <w:sz w:val="22"/>
                <w:szCs w:val="22"/>
                <w:bdr w:val="nil"/>
                <w:lang w:val="de-DE"/>
              </w:rPr>
              <w:t xml:space="preserve">die zwei </w:t>
            </w:r>
            <w:r w:rsidR="00C90BFE">
              <w:rPr>
                <w:rFonts w:ascii="Arial" w:hAnsi="Arial" w:eastAsia="Arial" w:cs="Arial"/>
                <w:sz w:val="22"/>
                <w:szCs w:val="22"/>
                <w:bdr w:val="nil"/>
                <w:lang w:val="de-DE"/>
              </w:rPr>
              <w:t>Funktione</w:t>
            </w:r>
            <w:r w:rsidR="00017082">
              <w:rPr>
                <w:rFonts w:ascii="Arial" w:hAnsi="Arial" w:eastAsia="Arial" w:cs="Arial"/>
                <w:sz w:val="22"/>
                <w:szCs w:val="22"/>
                <w:bdr w:val="nil"/>
                <w:lang w:val="de-DE"/>
              </w:rPr>
              <w:t>n (i) </w:t>
            </w:r>
            <w:r>
              <w:rPr>
                <w:rFonts w:ascii="Arial" w:hAnsi="Arial" w:eastAsia="Arial" w:cs="Arial"/>
                <w:sz w:val="22"/>
                <w:szCs w:val="22"/>
                <w:bdr w:val="nil"/>
                <w:lang w:val="de-DE"/>
              </w:rPr>
              <w:t xml:space="preserve">Förderung und Prävention und (ii) Unterstützung und </w:t>
            </w:r>
            <w:r w:rsidR="008A1AFD">
              <w:rPr>
                <w:rFonts w:ascii="Arial" w:hAnsi="Arial" w:eastAsia="Arial" w:cs="Arial"/>
                <w:sz w:val="22"/>
                <w:szCs w:val="22"/>
                <w:bdr w:val="nil"/>
                <w:lang w:val="de-DE"/>
              </w:rPr>
              <w:t>Rechtsd</w:t>
            </w:r>
            <w:r>
              <w:rPr>
                <w:rFonts w:ascii="Arial" w:hAnsi="Arial" w:eastAsia="Arial" w:cs="Arial"/>
                <w:sz w:val="22"/>
                <w:szCs w:val="22"/>
                <w:bdr w:val="nil"/>
                <w:lang w:val="de-DE"/>
              </w:rPr>
              <w:t xml:space="preserve">urchsetzung übertragen sollten. </w:t>
            </w:r>
            <w:r w:rsidR="00B24624">
              <w:rPr>
                <w:rFonts w:ascii="Arial" w:hAnsi="Arial" w:eastAsia="Arial" w:cs="Arial"/>
                <w:sz w:val="22"/>
                <w:szCs w:val="22"/>
                <w:bdr w:val="nil"/>
                <w:lang w:val="de-DE"/>
              </w:rPr>
              <w:t>Z</w:t>
            </w:r>
            <w:r>
              <w:rPr>
                <w:rFonts w:ascii="Arial" w:hAnsi="Arial" w:eastAsia="Arial" w:cs="Arial"/>
                <w:sz w:val="22"/>
                <w:szCs w:val="22"/>
                <w:bdr w:val="nil"/>
                <w:lang w:val="de-DE"/>
              </w:rPr>
              <w:t xml:space="preserve">ivilgesellschaftliche Organisationen </w:t>
            </w:r>
            <w:r w:rsidR="00B24624">
              <w:rPr>
                <w:rFonts w:ascii="Arial" w:hAnsi="Arial" w:eastAsia="Arial" w:cs="Arial"/>
                <w:sz w:val="22"/>
                <w:szCs w:val="22"/>
                <w:bdr w:val="nil"/>
                <w:lang w:val="de-DE"/>
              </w:rPr>
              <w:t xml:space="preserve">können und sollen neben der Gleichheitsstelle </w:t>
            </w:r>
            <w:r w:rsidR="008A1AFD">
              <w:rPr>
                <w:rFonts w:ascii="Arial" w:hAnsi="Arial" w:eastAsia="Arial" w:cs="Arial"/>
                <w:sz w:val="22"/>
                <w:szCs w:val="22"/>
                <w:bdr w:val="nil"/>
                <w:lang w:val="de-DE"/>
              </w:rPr>
              <w:t xml:space="preserve">eine Rolle spielen und einen wertvollen Beitrag </w:t>
            </w:r>
            <w:r w:rsidRPr="00B24624" w:rsidR="00B24624">
              <w:rPr>
                <w:rFonts w:ascii="Arial" w:hAnsi="Arial" w:eastAsia="Arial" w:cs="Arial"/>
                <w:sz w:val="22"/>
                <w:szCs w:val="22"/>
                <w:bdr w:val="nil"/>
                <w:lang w:val="de-DE"/>
              </w:rPr>
              <w:t xml:space="preserve">in Bezug auf diese beiden Funktionen </w:t>
            </w:r>
            <w:r w:rsidR="008A1AFD">
              <w:rPr>
                <w:rFonts w:ascii="Arial" w:hAnsi="Arial" w:eastAsia="Arial" w:cs="Arial"/>
                <w:sz w:val="22"/>
                <w:szCs w:val="22"/>
                <w:bdr w:val="nil"/>
                <w:lang w:val="de-DE"/>
              </w:rPr>
              <w:t xml:space="preserve">leisten. </w:t>
            </w:r>
            <w:r>
              <w:rPr>
                <w:rFonts w:ascii="Arial" w:hAnsi="Arial" w:eastAsia="Arial" w:cs="Arial"/>
                <w:sz w:val="22"/>
                <w:szCs w:val="22"/>
                <w:bdr w:val="nil"/>
                <w:lang w:val="de-DE"/>
              </w:rPr>
              <w:t xml:space="preserve">Menschen, die Diskriminierung und Intoleranz ausgesetzt sind, wenden sich häufig zuerst an zivilgesellschaftliche Organisationen, die sie </w:t>
            </w:r>
            <w:r w:rsidR="008A1AFD">
              <w:rPr>
                <w:rFonts w:ascii="Arial" w:hAnsi="Arial" w:eastAsia="Arial" w:cs="Arial"/>
                <w:sz w:val="22"/>
                <w:szCs w:val="22"/>
                <w:bdr w:val="nil"/>
                <w:lang w:val="de-DE"/>
              </w:rPr>
              <w:t xml:space="preserve">anschließend </w:t>
            </w:r>
            <w:r w:rsidR="00B24624">
              <w:rPr>
                <w:rFonts w:ascii="Arial" w:hAnsi="Arial" w:eastAsia="Arial" w:cs="Arial"/>
                <w:sz w:val="22"/>
                <w:szCs w:val="22"/>
                <w:bdr w:val="nil"/>
                <w:lang w:val="de-DE"/>
              </w:rPr>
              <w:t xml:space="preserve">dazu </w:t>
            </w:r>
            <w:r>
              <w:rPr>
                <w:rFonts w:ascii="Arial" w:hAnsi="Arial" w:eastAsia="Arial" w:cs="Arial"/>
                <w:sz w:val="22"/>
                <w:szCs w:val="22"/>
                <w:bdr w:val="nil"/>
                <w:lang w:val="de-DE"/>
              </w:rPr>
              <w:t xml:space="preserve">ermutigen und </w:t>
            </w:r>
            <w:r w:rsidR="008A1AFD">
              <w:rPr>
                <w:rFonts w:ascii="Arial" w:hAnsi="Arial" w:eastAsia="Arial" w:cs="Arial"/>
                <w:sz w:val="22"/>
                <w:szCs w:val="22"/>
                <w:bdr w:val="nil"/>
                <w:lang w:val="de-DE"/>
              </w:rPr>
              <w:t xml:space="preserve">dabei </w:t>
            </w:r>
            <w:r>
              <w:rPr>
                <w:rFonts w:ascii="Arial" w:hAnsi="Arial" w:eastAsia="Arial" w:cs="Arial"/>
                <w:sz w:val="22"/>
                <w:szCs w:val="22"/>
                <w:bdr w:val="nil"/>
                <w:lang w:val="de-DE"/>
              </w:rPr>
              <w:t xml:space="preserve">unterstützen, eine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zu kontaktieren.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und zivilgesellschaftliche Organisationen müssen </w:t>
            </w:r>
            <w:r w:rsidR="00B24624">
              <w:rPr>
                <w:rFonts w:ascii="Arial" w:hAnsi="Arial" w:eastAsia="Arial" w:cs="Arial"/>
                <w:sz w:val="22"/>
                <w:szCs w:val="22"/>
                <w:bdr w:val="nil"/>
                <w:lang w:val="de-DE"/>
              </w:rPr>
              <w:t>hierbei</w:t>
            </w:r>
            <w:r>
              <w:rPr>
                <w:rFonts w:ascii="Arial" w:hAnsi="Arial" w:eastAsia="Arial" w:cs="Arial"/>
                <w:sz w:val="22"/>
                <w:szCs w:val="22"/>
                <w:bdr w:val="nil"/>
                <w:lang w:val="de-DE"/>
              </w:rPr>
              <w:t xml:space="preserve"> mit dem Ziel zusammenarbeiten, d</w:t>
            </w:r>
            <w:r w:rsidR="00B24624">
              <w:rPr>
                <w:rFonts w:ascii="Arial" w:hAnsi="Arial" w:eastAsia="Arial" w:cs="Arial"/>
                <w:sz w:val="22"/>
                <w:szCs w:val="22"/>
                <w:bdr w:val="nil"/>
                <w:lang w:val="de-DE"/>
              </w:rPr>
              <w:t>en</w:t>
            </w:r>
            <w:r>
              <w:rPr>
                <w:rFonts w:ascii="Arial" w:hAnsi="Arial" w:eastAsia="Arial" w:cs="Arial"/>
                <w:sz w:val="22"/>
                <w:szCs w:val="22"/>
                <w:bdr w:val="nil"/>
                <w:lang w:val="de-DE"/>
              </w:rPr>
              <w:t xml:space="preserve"> bestmögliche</w:t>
            </w:r>
            <w:r w:rsidR="00B24624">
              <w:rPr>
                <w:rFonts w:ascii="Arial" w:hAnsi="Arial" w:eastAsia="Arial" w:cs="Arial"/>
                <w:sz w:val="22"/>
                <w:szCs w:val="22"/>
                <w:bdr w:val="nil"/>
                <w:lang w:val="de-DE"/>
              </w:rPr>
              <w:t>m Weg</w:t>
            </w:r>
            <w:r>
              <w:rPr>
                <w:rFonts w:ascii="Arial" w:hAnsi="Arial" w:eastAsia="Arial" w:cs="Arial"/>
                <w:sz w:val="22"/>
                <w:szCs w:val="22"/>
                <w:bdr w:val="nil"/>
                <w:lang w:val="de-DE"/>
              </w:rPr>
              <w:t xml:space="preserve"> für die Durchsetzung der Rechte von Menschen zu finden, die Diskriminierung und Intoleranz ausgesetzt sind, und ihre </w:t>
            </w:r>
            <w:r w:rsidR="00B24624">
              <w:rPr>
                <w:rFonts w:ascii="Arial" w:hAnsi="Arial" w:eastAsia="Arial" w:cs="Arial"/>
                <w:sz w:val="22"/>
                <w:szCs w:val="22"/>
                <w:bdr w:val="nil"/>
                <w:lang w:val="de-DE"/>
              </w:rPr>
              <w:t xml:space="preserve">Tätigkeiten </w:t>
            </w:r>
            <w:r>
              <w:rPr>
                <w:rFonts w:ascii="Arial" w:hAnsi="Arial" w:eastAsia="Arial" w:cs="Arial"/>
                <w:sz w:val="22"/>
                <w:szCs w:val="22"/>
                <w:bdr w:val="nil"/>
                <w:lang w:val="de-DE"/>
              </w:rPr>
              <w:t xml:space="preserve">koordinieren. </w:t>
            </w:r>
          </w:p>
          <w:p w:rsidRPr="006C29B1" w:rsidR="00DD016F" w:rsidP="004B73F0" w:rsidRDefault="0078680C" w14:paraId="15B1E42F" w14:textId="6AEBFF9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Darüber hinaus können Mitgliedstaaten eine</w:t>
            </w:r>
            <w:r w:rsidR="008A1AFD">
              <w:rPr>
                <w:rFonts w:ascii="Arial" w:hAnsi="Arial" w:eastAsia="Arial" w:cs="Arial"/>
                <w:sz w:val="22"/>
                <w:szCs w:val="22"/>
                <w:bdr w:val="nil"/>
                <w:lang w:val="de-DE"/>
              </w:rPr>
              <w:t xml:space="preserve"> separate</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8A1AFD">
              <w:rPr>
                <w:rFonts w:ascii="Arial" w:hAnsi="Arial" w:eastAsia="Arial" w:cs="Arial"/>
                <w:sz w:val="22"/>
                <w:szCs w:val="22"/>
                <w:bdr w:val="nil"/>
                <w:lang w:val="de-DE"/>
              </w:rPr>
              <w:t xml:space="preserve">mit </w:t>
            </w:r>
            <w:r>
              <w:rPr>
                <w:rFonts w:ascii="Arial" w:hAnsi="Arial" w:eastAsia="Arial" w:cs="Arial"/>
                <w:sz w:val="22"/>
                <w:szCs w:val="22"/>
                <w:bdr w:val="nil"/>
                <w:lang w:val="de-DE"/>
              </w:rPr>
              <w:t>eine</w:t>
            </w:r>
            <w:r w:rsidR="008A1AFD">
              <w:rPr>
                <w:rFonts w:ascii="Arial" w:hAnsi="Arial" w:eastAsia="Arial" w:cs="Arial"/>
                <w:sz w:val="22"/>
                <w:szCs w:val="22"/>
                <w:bdr w:val="nil"/>
                <w:lang w:val="de-DE"/>
              </w:rPr>
              <w:t>r</w:t>
            </w:r>
            <w:r>
              <w:rPr>
                <w:rFonts w:ascii="Arial" w:hAnsi="Arial" w:eastAsia="Arial" w:cs="Arial"/>
                <w:sz w:val="22"/>
                <w:szCs w:val="22"/>
                <w:bdr w:val="nil"/>
                <w:lang w:val="de-DE"/>
              </w:rPr>
              <w:t xml:space="preserve">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w:t>
            </w:r>
            <w:r w:rsidR="008A1AFD">
              <w:rPr>
                <w:rFonts w:ascii="Arial" w:hAnsi="Arial" w:eastAsia="Arial" w:cs="Arial"/>
                <w:sz w:val="22"/>
                <w:szCs w:val="22"/>
                <w:bdr w:val="nil"/>
                <w:lang w:val="de-DE"/>
              </w:rPr>
              <w:t>betrauen</w:t>
            </w:r>
            <w:r>
              <w:rPr>
                <w:rFonts w:ascii="Arial" w:hAnsi="Arial" w:eastAsia="Arial" w:cs="Arial"/>
                <w:sz w:val="22"/>
                <w:szCs w:val="22"/>
                <w:bdr w:val="nil"/>
                <w:lang w:val="de-DE"/>
              </w:rPr>
              <w:t xml:space="preserve"> oder diese ausschließlich der Justiz </w:t>
            </w:r>
            <w:r w:rsidR="008A1AFD">
              <w:rPr>
                <w:rFonts w:ascii="Arial" w:hAnsi="Arial" w:eastAsia="Arial" w:cs="Arial"/>
                <w:sz w:val="22"/>
                <w:szCs w:val="22"/>
                <w:bdr w:val="nil"/>
                <w:lang w:val="de-DE"/>
              </w:rPr>
              <w:t>übertragen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mit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können ein</w:t>
            </w:r>
            <w:r w:rsidR="008A1AFD">
              <w:rPr>
                <w:rFonts w:ascii="Arial" w:hAnsi="Arial" w:eastAsia="Arial" w:cs="Arial"/>
                <w:sz w:val="22"/>
                <w:szCs w:val="22"/>
                <w:bdr w:val="nil"/>
                <w:lang w:val="de-DE"/>
              </w:rPr>
              <w:t xml:space="preserve"> leichter</w:t>
            </w:r>
            <w:r>
              <w:rPr>
                <w:rFonts w:ascii="Arial" w:hAnsi="Arial" w:eastAsia="Arial" w:cs="Arial"/>
                <w:sz w:val="22"/>
                <w:szCs w:val="22"/>
                <w:bdr w:val="nil"/>
                <w:lang w:val="de-DE"/>
              </w:rPr>
              <w:t xml:space="preserve"> zugängliche</w:t>
            </w:r>
            <w:r w:rsidR="008A1AFD">
              <w:rPr>
                <w:rFonts w:ascii="Arial" w:hAnsi="Arial" w:eastAsia="Arial" w:cs="Arial"/>
                <w:sz w:val="22"/>
                <w:szCs w:val="22"/>
                <w:bdr w:val="nil"/>
                <w:lang w:val="de-DE"/>
              </w:rPr>
              <w:t>r</w:t>
            </w:r>
            <w:r>
              <w:rPr>
                <w:rFonts w:ascii="Arial" w:hAnsi="Arial" w:eastAsia="Arial" w:cs="Arial"/>
                <w:sz w:val="22"/>
                <w:szCs w:val="22"/>
                <w:bdr w:val="nil"/>
                <w:lang w:val="de-DE"/>
              </w:rPr>
              <w:t xml:space="preserve">, weniger </w:t>
            </w:r>
            <w:r w:rsidR="008A1AFD">
              <w:rPr>
                <w:rFonts w:ascii="Arial" w:hAnsi="Arial" w:eastAsia="Arial" w:cs="Arial"/>
                <w:sz w:val="22"/>
                <w:szCs w:val="22"/>
                <w:bdr w:val="nil"/>
                <w:lang w:val="de-DE"/>
              </w:rPr>
              <w:t xml:space="preserve">konfliktträchtiger </w:t>
            </w:r>
            <w:r>
              <w:rPr>
                <w:rFonts w:ascii="Arial" w:hAnsi="Arial" w:eastAsia="Arial" w:cs="Arial"/>
                <w:sz w:val="22"/>
                <w:szCs w:val="22"/>
                <w:bdr w:val="nil"/>
                <w:lang w:val="de-DE"/>
              </w:rPr>
              <w:t>und spezialisiertere</w:t>
            </w:r>
            <w:r w:rsidR="008A1AFD">
              <w:rPr>
                <w:rFonts w:ascii="Arial" w:hAnsi="Arial" w:eastAsia="Arial" w:cs="Arial"/>
                <w:sz w:val="22"/>
                <w:szCs w:val="22"/>
                <w:bdr w:val="nil"/>
                <w:lang w:val="de-DE"/>
              </w:rPr>
              <w:t>r Anlaufpunkt</w:t>
            </w:r>
            <w:r>
              <w:rPr>
                <w:rFonts w:ascii="Arial" w:hAnsi="Arial" w:eastAsia="Arial" w:cs="Arial"/>
                <w:sz w:val="22"/>
                <w:szCs w:val="22"/>
                <w:bdr w:val="nil"/>
                <w:lang w:val="de-DE"/>
              </w:rPr>
              <w:t xml:space="preserve"> für Diskriminierungsfälle sein als die Justiz. </w:t>
            </w:r>
            <w:r w:rsidR="008A1AFD">
              <w:rPr>
                <w:rFonts w:ascii="Arial" w:hAnsi="Arial" w:eastAsia="Arial" w:cs="Arial"/>
                <w:sz w:val="22"/>
                <w:szCs w:val="22"/>
                <w:bdr w:val="nil"/>
                <w:lang w:val="de-DE"/>
              </w:rPr>
              <w:t>Durch d</w:t>
            </w:r>
            <w:r>
              <w:rPr>
                <w:rFonts w:ascii="Arial" w:hAnsi="Arial" w:eastAsia="Arial" w:cs="Arial"/>
                <w:sz w:val="22"/>
                <w:szCs w:val="22"/>
                <w:bdr w:val="nil"/>
                <w:lang w:val="de-DE"/>
              </w:rPr>
              <w:t xml:space="preserve">ie Konzentration von Diskriminierungsfällen </w:t>
            </w:r>
            <w:r w:rsidR="008A1AFD">
              <w:rPr>
                <w:rFonts w:ascii="Arial" w:hAnsi="Arial" w:eastAsia="Arial" w:cs="Arial"/>
                <w:sz w:val="22"/>
                <w:szCs w:val="22"/>
                <w:bdr w:val="nil"/>
                <w:lang w:val="de-DE"/>
              </w:rPr>
              <w:t>a</w:t>
            </w:r>
            <w:r>
              <w:rPr>
                <w:rFonts w:ascii="Arial" w:hAnsi="Arial" w:eastAsia="Arial" w:cs="Arial"/>
                <w:sz w:val="22"/>
                <w:szCs w:val="22"/>
                <w:bdr w:val="nil"/>
                <w:lang w:val="de-DE"/>
              </w:rPr>
              <w:t>n einer Stelle ermöglich</w:t>
            </w:r>
            <w:r w:rsidR="008A1AFD">
              <w:rPr>
                <w:rFonts w:ascii="Arial" w:hAnsi="Arial" w:eastAsia="Arial" w:cs="Arial"/>
                <w:sz w:val="22"/>
                <w:szCs w:val="22"/>
                <w:bdr w:val="nil"/>
                <w:lang w:val="de-DE"/>
              </w:rPr>
              <w:t>en sie</w:t>
            </w:r>
            <w:r>
              <w:rPr>
                <w:rFonts w:ascii="Arial" w:hAnsi="Arial" w:eastAsia="Arial" w:cs="Arial"/>
                <w:sz w:val="22"/>
                <w:szCs w:val="22"/>
                <w:bdr w:val="nil"/>
                <w:lang w:val="de-DE"/>
              </w:rPr>
              <w:t xml:space="preserve"> die Entwicklung von Fachwissen und einer einheitliche</w:t>
            </w:r>
            <w:r w:rsidR="008A1AFD">
              <w:rPr>
                <w:rFonts w:ascii="Arial" w:hAnsi="Arial" w:eastAsia="Arial" w:cs="Arial"/>
                <w:sz w:val="22"/>
                <w:szCs w:val="22"/>
                <w:bdr w:val="nil"/>
                <w:lang w:val="de-DE"/>
              </w:rPr>
              <w:t>n</w:t>
            </w:r>
            <w:r>
              <w:rPr>
                <w:rFonts w:ascii="Arial" w:hAnsi="Arial" w:eastAsia="Arial" w:cs="Arial"/>
                <w:sz w:val="22"/>
                <w:szCs w:val="22"/>
                <w:bdr w:val="nil"/>
                <w:lang w:val="de-DE"/>
              </w:rPr>
              <w:t xml:space="preserve"> Rechtsprechung</w:t>
            </w:r>
            <w:r w:rsidR="008A1AFD">
              <w:rPr>
                <w:rFonts w:ascii="Arial" w:hAnsi="Arial" w:eastAsia="Arial" w:cs="Arial"/>
                <w:sz w:val="22"/>
                <w:szCs w:val="22"/>
                <w:bdr w:val="nil"/>
                <w:lang w:val="de-DE"/>
              </w:rPr>
              <w:t xml:space="preserve"> und tragen so </w:t>
            </w:r>
            <w:r>
              <w:rPr>
                <w:rFonts w:ascii="Arial" w:hAnsi="Arial" w:eastAsia="Arial" w:cs="Arial"/>
                <w:sz w:val="22"/>
                <w:szCs w:val="22"/>
                <w:bdr w:val="nil"/>
                <w:lang w:val="de-DE"/>
              </w:rPr>
              <w:t xml:space="preserve">zur Umsetzung und </w:t>
            </w:r>
            <w:r w:rsidR="008A1AFD">
              <w:rPr>
                <w:rFonts w:ascii="Arial" w:hAnsi="Arial" w:eastAsia="Arial" w:cs="Arial"/>
                <w:sz w:val="22"/>
                <w:szCs w:val="22"/>
                <w:bdr w:val="nil"/>
                <w:lang w:val="de-DE"/>
              </w:rPr>
              <w:t xml:space="preserve">Einhaltung </w:t>
            </w:r>
            <w:r>
              <w:rPr>
                <w:rFonts w:ascii="Arial" w:hAnsi="Arial" w:eastAsia="Arial" w:cs="Arial"/>
                <w:sz w:val="22"/>
                <w:szCs w:val="22"/>
                <w:bdr w:val="nil"/>
                <w:lang w:val="de-DE"/>
              </w:rPr>
              <w:t>der Antidiskriminierungsgesetz</w:t>
            </w:r>
            <w:r w:rsidR="008A1AFD">
              <w:rPr>
                <w:rFonts w:ascii="Arial" w:hAnsi="Arial" w:eastAsia="Arial" w:cs="Arial"/>
                <w:sz w:val="22"/>
                <w:szCs w:val="22"/>
                <w:bdr w:val="nil"/>
                <w:lang w:val="de-DE"/>
              </w:rPr>
              <w:t>gebung</w:t>
            </w:r>
            <w:r>
              <w:rPr>
                <w:rFonts w:ascii="Arial" w:hAnsi="Arial" w:eastAsia="Arial" w:cs="Arial"/>
                <w:sz w:val="22"/>
                <w:szCs w:val="22"/>
                <w:bdr w:val="nil"/>
                <w:lang w:val="de-DE"/>
              </w:rPr>
              <w:t xml:space="preserve"> bei. Innerhalb der Justiz könnte eine ähnliche Spezialisierung durch die Konzentration von Diskriminierungsfällen in ein</w:t>
            </w:r>
            <w:r w:rsidR="008A1AFD">
              <w:rPr>
                <w:rFonts w:ascii="Arial" w:hAnsi="Arial" w:eastAsia="Arial" w:cs="Arial"/>
                <w:sz w:val="22"/>
                <w:szCs w:val="22"/>
                <w:bdr w:val="nil"/>
                <w:lang w:val="de-DE"/>
              </w:rPr>
              <w:t xml:space="preserve">er kleinen Zahl von </w:t>
            </w:r>
            <w:r>
              <w:rPr>
                <w:rFonts w:ascii="Arial" w:hAnsi="Arial" w:eastAsia="Arial" w:cs="Arial"/>
                <w:sz w:val="22"/>
                <w:szCs w:val="22"/>
                <w:bdr w:val="nil"/>
                <w:lang w:val="de-DE"/>
              </w:rPr>
              <w:t>Gerichten</w:t>
            </w:r>
            <w:r w:rsidR="008A1AFD">
              <w:rPr>
                <w:rFonts w:ascii="Arial" w:hAnsi="Arial" w:eastAsia="Arial" w:cs="Arial"/>
                <w:sz w:val="22"/>
                <w:szCs w:val="22"/>
                <w:bdr w:val="nil"/>
                <w:lang w:val="de-DE"/>
              </w:rPr>
              <w:t xml:space="preserve">, </w:t>
            </w:r>
            <w:r>
              <w:rPr>
                <w:rFonts w:ascii="Arial" w:hAnsi="Arial" w:eastAsia="Arial" w:cs="Arial"/>
                <w:sz w:val="22"/>
                <w:szCs w:val="22"/>
                <w:bdr w:val="nil"/>
                <w:lang w:val="de-DE"/>
              </w:rPr>
              <w:t>Kammern oder Abteilungen erreicht werden, die sich auf dieses Thema spezialisie</w:t>
            </w:r>
            <w:r w:rsidR="008A1AFD">
              <w:rPr>
                <w:rFonts w:ascii="Arial" w:hAnsi="Arial" w:eastAsia="Arial" w:cs="Arial"/>
                <w:sz w:val="22"/>
                <w:szCs w:val="22"/>
                <w:bdr w:val="nil"/>
                <w:lang w:val="de-DE"/>
              </w:rPr>
              <w:t>ren</w:t>
            </w:r>
            <w:r>
              <w:rPr>
                <w:rFonts w:ascii="Arial" w:hAnsi="Arial" w:eastAsia="Arial" w:cs="Arial"/>
                <w:sz w:val="22"/>
                <w:szCs w:val="22"/>
                <w:bdr w:val="nil"/>
                <w:lang w:val="de-DE"/>
              </w:rPr>
              <w:t xml:space="preserve">. </w:t>
            </w:r>
          </w:p>
        </w:tc>
      </w:tr>
      <w:tr w:rsidRPr="00046FAE" w:rsidR="00D8651C" w:rsidTr="00C0685F" w14:paraId="15761098" w14:textId="77777777">
        <w:trPr>
          <w:gridAfter w:val="1"/>
          <w:wAfter w:w="649" w:type="dxa"/>
          <w:trHeight w:val="794"/>
        </w:trPr>
        <w:tc>
          <w:tcPr>
            <w:tcW w:w="0" w:type="auto"/>
          </w:tcPr>
          <w:p w:rsidRPr="006C29B1" w:rsidR="00DD016F" w:rsidP="004B73F0" w:rsidRDefault="0078680C" w14:paraId="58E6C3E0" w14:textId="15B3AAA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w:t>
            </w:r>
            <w:r w:rsidR="008A1AFD">
              <w:rPr>
                <w:rFonts w:ascii="Arial" w:hAnsi="Arial" w:eastAsia="Arial" w:cs="Arial"/>
                <w:sz w:val="22"/>
                <w:szCs w:val="22"/>
                <w:bdr w:val="nil"/>
                <w:lang w:val="de-DE"/>
              </w:rPr>
              <w:t>Unterstützungs- und Rechtsdurchsetzungsfunktion</w:t>
            </w:r>
            <w:r>
              <w:rPr>
                <w:rFonts w:ascii="Arial" w:hAnsi="Arial" w:eastAsia="Arial" w:cs="Arial"/>
                <w:sz w:val="22"/>
                <w:szCs w:val="22"/>
                <w:bdr w:val="nil"/>
                <w:lang w:val="de-DE"/>
              </w:rPr>
              <w:t xml:space="preserve"> und die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sollten vorzugsweise unterschiedlichen Organen übertragen werden.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müssen unparteilich sein, wenn sie die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ausüben</w:t>
            </w:r>
            <w:r>
              <w:rPr>
                <w:rFonts w:ascii="Arial" w:hAnsi="Arial" w:eastAsia="Arial" w:cs="Arial"/>
                <w:sz w:val="22"/>
                <w:szCs w:val="22"/>
                <w:bdr w:val="nil"/>
                <w:lang w:val="de-DE"/>
              </w:rPr>
              <w:t xml:space="preserve">, wohingegen sie auf der Seite der Beschwerdeführer stehen und diese vertreten, wenn sie die </w:t>
            </w:r>
            <w:r w:rsidR="008A1AFD">
              <w:rPr>
                <w:rFonts w:ascii="Arial" w:hAnsi="Arial" w:eastAsia="Arial" w:cs="Arial"/>
                <w:sz w:val="22"/>
                <w:szCs w:val="22"/>
                <w:bdr w:val="nil"/>
                <w:lang w:val="de-DE"/>
              </w:rPr>
              <w:t>Unterstützungs- und Rechtsdurchsetzungsfunktion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wahrnehmen</w:t>
            </w:r>
            <w:r>
              <w:rPr>
                <w:rFonts w:ascii="Arial" w:hAnsi="Arial" w:eastAsia="Arial" w:cs="Arial"/>
                <w:sz w:val="22"/>
                <w:szCs w:val="22"/>
                <w:bdr w:val="nil"/>
                <w:lang w:val="de-DE"/>
              </w:rPr>
              <w:t xml:space="preserve">. Werden beide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derselben Stelle übertragen, kann dies das Vertrauen der </w:t>
            </w:r>
            <w:r w:rsidR="00BE03CC">
              <w:rPr>
                <w:rFonts w:ascii="Arial" w:hAnsi="Arial" w:eastAsia="Arial" w:cs="Arial"/>
                <w:sz w:val="22"/>
                <w:szCs w:val="22"/>
                <w:bdr w:val="nil"/>
                <w:lang w:val="de-DE"/>
              </w:rPr>
              <w:t xml:space="preserve">Betroffenen </w:t>
            </w:r>
            <w:r>
              <w:rPr>
                <w:rFonts w:ascii="Arial" w:hAnsi="Arial" w:eastAsia="Arial" w:cs="Arial"/>
                <w:sz w:val="22"/>
                <w:szCs w:val="22"/>
                <w:bdr w:val="nil"/>
                <w:lang w:val="de-DE"/>
              </w:rPr>
              <w:t xml:space="preserve">in ihre Unparteilichkeit </w:t>
            </w:r>
            <w:r w:rsidR="00BE03CC">
              <w:rPr>
                <w:rFonts w:ascii="Arial" w:hAnsi="Arial" w:eastAsia="Arial" w:cs="Arial"/>
                <w:sz w:val="22"/>
                <w:szCs w:val="22"/>
                <w:bdr w:val="nil"/>
                <w:lang w:val="de-DE"/>
              </w:rPr>
              <w:t>beeinträchtigen</w:t>
            </w:r>
            <w:r>
              <w:rPr>
                <w:rFonts w:ascii="Arial" w:hAnsi="Arial" w:eastAsia="Arial" w:cs="Arial"/>
                <w:sz w:val="22"/>
                <w:szCs w:val="22"/>
                <w:bdr w:val="nil"/>
                <w:lang w:val="de-DE"/>
              </w:rPr>
              <w:t xml:space="preserve">, die für eine glaubwürdige Ausübung der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 xml:space="preserve">unverzichtbar </w:t>
            </w:r>
            <w:r>
              <w:rPr>
                <w:rFonts w:ascii="Arial" w:hAnsi="Arial" w:eastAsia="Arial" w:cs="Arial"/>
                <w:sz w:val="22"/>
                <w:szCs w:val="22"/>
                <w:bdr w:val="nil"/>
                <w:lang w:val="de-DE"/>
              </w:rPr>
              <w:t>ist.</w:t>
            </w:r>
          </w:p>
          <w:p w:rsidRPr="006C29B1" w:rsidR="00DD016F" w:rsidP="004B73F0" w:rsidRDefault="00BE03CC" w14:paraId="0B835568" w14:textId="0E254DD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 xml:space="preserve">Sind </w:t>
            </w:r>
            <w:r w:rsidR="0078680C">
              <w:rPr>
                <w:rFonts w:ascii="Arial" w:hAnsi="Arial" w:eastAsia="Arial" w:cs="Arial"/>
                <w:sz w:val="22"/>
                <w:szCs w:val="22"/>
                <w:bdr w:val="nil"/>
                <w:lang w:val="de-DE"/>
              </w:rPr>
              <w:t xml:space="preserve">beide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 xml:space="preserve">n </w:t>
            </w:r>
            <w:r>
              <w:rPr>
                <w:rFonts w:ascii="Arial" w:hAnsi="Arial" w:eastAsia="Arial" w:cs="Arial"/>
                <w:sz w:val="22"/>
                <w:szCs w:val="22"/>
                <w:bdr w:val="nil"/>
                <w:lang w:val="de-DE"/>
              </w:rPr>
              <w:t xml:space="preserve">dennoch </w:t>
            </w:r>
            <w:r w:rsidR="0078680C">
              <w:rPr>
                <w:rFonts w:ascii="Arial" w:hAnsi="Arial" w:eastAsia="Arial" w:cs="Arial"/>
                <w:sz w:val="22"/>
                <w:szCs w:val="22"/>
                <w:bdr w:val="nil"/>
                <w:lang w:val="de-DE"/>
              </w:rPr>
              <w:t>in derselben Stelle</w:t>
            </w:r>
            <w:r>
              <w:rPr>
                <w:rFonts w:ascii="Arial" w:hAnsi="Arial" w:eastAsia="Arial" w:cs="Arial"/>
                <w:sz w:val="22"/>
                <w:szCs w:val="22"/>
                <w:bdr w:val="nil"/>
                <w:lang w:val="de-DE"/>
              </w:rPr>
              <w:t xml:space="preserve"> angesiedelt</w:t>
            </w:r>
            <w:r w:rsidR="0078680C">
              <w:rPr>
                <w:rFonts w:ascii="Arial" w:hAnsi="Arial" w:eastAsia="Arial" w:cs="Arial"/>
                <w:sz w:val="22"/>
                <w:szCs w:val="22"/>
                <w:bdr w:val="nil"/>
                <w:lang w:val="de-DE"/>
              </w:rPr>
              <w:t xml:space="preserve">, sollte jede </w:t>
            </w:r>
            <w:r w:rsidR="00C90BFE">
              <w:rPr>
                <w:rFonts w:ascii="Arial" w:hAnsi="Arial" w:eastAsia="Arial" w:cs="Arial"/>
                <w:sz w:val="22"/>
                <w:szCs w:val="22"/>
                <w:bdr w:val="nil"/>
                <w:lang w:val="de-DE"/>
              </w:rPr>
              <w:t>Funktion</w:t>
            </w:r>
            <w:r w:rsidR="0078680C">
              <w:rPr>
                <w:rFonts w:ascii="Arial" w:hAnsi="Arial" w:eastAsia="Arial" w:cs="Arial"/>
                <w:sz w:val="22"/>
                <w:szCs w:val="22"/>
                <w:bdr w:val="nil"/>
                <w:lang w:val="de-DE"/>
              </w:rPr>
              <w:t xml:space="preserve"> von einer anderen Abteilung oder anderen Mitarbeitern </w:t>
            </w:r>
            <w:r w:rsidR="00061184">
              <w:rPr>
                <w:rFonts w:ascii="Arial" w:hAnsi="Arial" w:eastAsia="Arial" w:cs="Arial"/>
                <w:sz w:val="22"/>
                <w:szCs w:val="22"/>
                <w:bdr w:val="nil"/>
                <w:lang w:val="de-DE"/>
              </w:rPr>
              <w:t xml:space="preserve">ausgeübt </w:t>
            </w:r>
            <w:r w:rsidR="0078680C">
              <w:rPr>
                <w:rFonts w:ascii="Arial" w:hAnsi="Arial" w:eastAsia="Arial" w:cs="Arial"/>
                <w:sz w:val="22"/>
                <w:szCs w:val="22"/>
                <w:bdr w:val="nil"/>
                <w:lang w:val="de-DE"/>
              </w:rPr>
              <w:t xml:space="preserve">werden, und dies sollte für die Öffentlichkeit klar erkennbar sein. </w:t>
            </w:r>
          </w:p>
          <w:p w:rsidRPr="006C29B1" w:rsidR="00DD016F" w:rsidP="004B73F0" w:rsidRDefault="0078680C" w14:paraId="487040E3" w14:textId="267C2FE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Stellen, die sowohl für die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als auch die </w:t>
            </w:r>
            <w:r w:rsidR="008A1AFD">
              <w:rPr>
                <w:rFonts w:ascii="Arial" w:hAnsi="Arial" w:eastAsia="Arial" w:cs="Arial"/>
                <w:sz w:val="22"/>
                <w:szCs w:val="22"/>
                <w:bdr w:val="nil"/>
                <w:lang w:val="de-DE"/>
              </w:rPr>
              <w:t>Förderungs- und Präventionsfunktion</w:t>
            </w:r>
            <w:r>
              <w:rPr>
                <w:rFonts w:ascii="Arial" w:hAnsi="Arial" w:eastAsia="Arial" w:cs="Arial"/>
                <w:sz w:val="22"/>
                <w:szCs w:val="22"/>
                <w:bdr w:val="nil"/>
                <w:lang w:val="de-DE"/>
              </w:rPr>
              <w:t xml:space="preserve"> und/oder die </w:t>
            </w:r>
            <w:r w:rsidR="008A1AFD">
              <w:rPr>
                <w:rFonts w:ascii="Arial" w:hAnsi="Arial" w:eastAsia="Arial" w:cs="Arial"/>
                <w:sz w:val="22"/>
                <w:szCs w:val="22"/>
                <w:bdr w:val="nil"/>
                <w:lang w:val="de-DE"/>
              </w:rPr>
              <w:t>Unterstützungs- und Rechtsdurchsetzungsfunktion</w:t>
            </w:r>
            <w:r>
              <w:rPr>
                <w:rFonts w:ascii="Arial" w:hAnsi="Arial" w:eastAsia="Arial" w:cs="Arial"/>
                <w:sz w:val="22"/>
                <w:szCs w:val="22"/>
                <w:bdr w:val="nil"/>
                <w:lang w:val="de-DE"/>
              </w:rPr>
              <w:t xml:space="preserve"> zuständig sind, sind oftmals gezwungen, </w:t>
            </w:r>
            <w:r w:rsidR="00061184">
              <w:rPr>
                <w:rFonts w:ascii="Arial" w:hAnsi="Arial" w:eastAsia="Arial" w:cs="Arial"/>
                <w:sz w:val="22"/>
                <w:szCs w:val="22"/>
                <w:bdr w:val="nil"/>
                <w:lang w:val="de-DE"/>
              </w:rPr>
              <w:t>den größten Teil</w:t>
            </w:r>
            <w:r>
              <w:rPr>
                <w:rFonts w:ascii="Arial" w:hAnsi="Arial" w:eastAsia="Arial" w:cs="Arial"/>
                <w:sz w:val="22"/>
                <w:szCs w:val="22"/>
                <w:bdr w:val="nil"/>
                <w:lang w:val="de-DE"/>
              </w:rPr>
              <w:t xml:space="preserve"> ihrer Ressourcen für die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einzusetzen</w:t>
            </w:r>
            <w:r>
              <w:rPr>
                <w:rFonts w:ascii="Arial" w:hAnsi="Arial" w:eastAsia="Arial" w:cs="Arial"/>
                <w:sz w:val="22"/>
                <w:szCs w:val="22"/>
                <w:bdr w:val="nil"/>
                <w:lang w:val="de-DE"/>
              </w:rPr>
              <w:t xml:space="preserve">, um </w:t>
            </w:r>
            <w:r w:rsidR="00BE03CC">
              <w:rPr>
                <w:rFonts w:ascii="Arial" w:hAnsi="Arial" w:eastAsia="Arial" w:cs="Arial"/>
                <w:sz w:val="22"/>
                <w:szCs w:val="22"/>
                <w:bdr w:val="nil"/>
                <w:lang w:val="de-DE"/>
              </w:rPr>
              <w:t xml:space="preserve">zu gewährleisten, dass in einer großen Zahl von Fällen </w:t>
            </w:r>
            <w:r>
              <w:rPr>
                <w:rFonts w:ascii="Arial" w:hAnsi="Arial" w:eastAsia="Arial" w:cs="Arial"/>
                <w:sz w:val="22"/>
                <w:szCs w:val="22"/>
                <w:bdr w:val="nil"/>
                <w:lang w:val="de-DE"/>
              </w:rPr>
              <w:t xml:space="preserve">fristgerechte und </w:t>
            </w:r>
            <w:r w:rsidR="00BE03CC">
              <w:rPr>
                <w:rFonts w:ascii="Arial" w:hAnsi="Arial" w:eastAsia="Arial" w:cs="Arial"/>
                <w:sz w:val="22"/>
                <w:szCs w:val="22"/>
                <w:bdr w:val="nil"/>
                <w:lang w:val="de-DE"/>
              </w:rPr>
              <w:t xml:space="preserve">qualitativ </w:t>
            </w:r>
            <w:r>
              <w:rPr>
                <w:rFonts w:ascii="Arial" w:hAnsi="Arial" w:eastAsia="Arial" w:cs="Arial"/>
                <w:sz w:val="22"/>
                <w:szCs w:val="22"/>
                <w:bdr w:val="nil"/>
                <w:lang w:val="de-DE"/>
              </w:rPr>
              <w:t xml:space="preserve">hochwertige Entscheidungen </w:t>
            </w:r>
            <w:r w:rsidR="00BE03CC">
              <w:rPr>
                <w:rFonts w:ascii="Arial" w:hAnsi="Arial" w:eastAsia="Arial" w:cs="Arial"/>
                <w:sz w:val="22"/>
                <w:szCs w:val="22"/>
                <w:bdr w:val="nil"/>
                <w:lang w:val="de-DE"/>
              </w:rPr>
              <w:t>ergehen</w:t>
            </w:r>
            <w:r>
              <w:rPr>
                <w:rFonts w:ascii="Arial" w:hAnsi="Arial" w:eastAsia="Arial" w:cs="Arial"/>
                <w:sz w:val="22"/>
                <w:szCs w:val="22"/>
                <w:bdr w:val="nil"/>
                <w:lang w:val="de-DE"/>
              </w:rPr>
              <w:t xml:space="preserve">. Da die Gefahr besteht, dass diese Stellen nicht in der Lage sind, sowohl die </w:t>
            </w:r>
            <w:r w:rsidR="008A1AFD">
              <w:rPr>
                <w:rFonts w:ascii="Arial" w:hAnsi="Arial" w:eastAsia="Arial" w:cs="Arial"/>
                <w:sz w:val="22"/>
                <w:szCs w:val="22"/>
                <w:bdr w:val="nil"/>
                <w:lang w:val="de-DE"/>
              </w:rPr>
              <w:t>Unterstützungs- und Rechtsdurchsetzungsfunktion</w:t>
            </w:r>
            <w:r>
              <w:rPr>
                <w:rFonts w:ascii="Arial" w:hAnsi="Arial" w:eastAsia="Arial" w:cs="Arial"/>
                <w:sz w:val="22"/>
                <w:szCs w:val="22"/>
                <w:bdr w:val="nil"/>
                <w:lang w:val="de-DE"/>
              </w:rPr>
              <w:t xml:space="preserve"> als auch die </w:t>
            </w:r>
            <w:r w:rsidR="008A1AFD">
              <w:rPr>
                <w:rFonts w:ascii="Arial" w:hAnsi="Arial" w:eastAsia="Arial" w:cs="Arial"/>
                <w:sz w:val="22"/>
                <w:szCs w:val="22"/>
                <w:bdr w:val="nil"/>
                <w:lang w:val="de-DE"/>
              </w:rPr>
              <w:t>Förderungs- und Präventionsfunktion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angemessen</w:t>
            </w:r>
            <w:r>
              <w:rPr>
                <w:rFonts w:ascii="Arial" w:hAnsi="Arial" w:eastAsia="Arial" w:cs="Arial"/>
                <w:sz w:val="22"/>
                <w:szCs w:val="22"/>
                <w:bdr w:val="nil"/>
                <w:lang w:val="de-DE"/>
              </w:rPr>
              <w:t xml:space="preserve"> zu erfüllen, muss sichergestellt werden, dass sie </w:t>
            </w:r>
            <w:r w:rsidR="00061184">
              <w:rPr>
                <w:rFonts w:ascii="Arial" w:hAnsi="Arial" w:eastAsia="Arial" w:cs="Arial"/>
                <w:sz w:val="22"/>
                <w:szCs w:val="22"/>
                <w:bdr w:val="nil"/>
                <w:lang w:val="de-DE"/>
              </w:rPr>
              <w:t xml:space="preserve">auch </w:t>
            </w:r>
            <w:r>
              <w:rPr>
                <w:rFonts w:ascii="Arial" w:hAnsi="Arial" w:eastAsia="Arial" w:cs="Arial"/>
                <w:sz w:val="22"/>
                <w:szCs w:val="22"/>
                <w:bdr w:val="nil"/>
                <w:lang w:val="de-DE"/>
              </w:rPr>
              <w:t xml:space="preserve">für diese </w:t>
            </w:r>
            <w:r w:rsidR="00BE03CC">
              <w:rPr>
                <w:rFonts w:ascii="Arial" w:hAnsi="Arial" w:eastAsia="Arial" w:cs="Arial"/>
                <w:sz w:val="22"/>
                <w:szCs w:val="22"/>
                <w:bdr w:val="nil"/>
                <w:lang w:val="de-DE"/>
              </w:rPr>
              <w:t xml:space="preserve">beiden </w:t>
            </w:r>
            <w:r w:rsidR="00C90BFE">
              <w:rPr>
                <w:rFonts w:ascii="Arial" w:hAnsi="Arial" w:eastAsia="Arial" w:cs="Arial"/>
                <w:sz w:val="22"/>
                <w:szCs w:val="22"/>
                <w:bdr w:val="nil"/>
                <w:lang w:val="de-DE"/>
              </w:rPr>
              <w:t>Funktion</w:t>
            </w:r>
            <w:r w:rsidR="00BE03CC">
              <w:rPr>
                <w:rFonts w:ascii="Arial" w:hAnsi="Arial" w:eastAsia="Arial" w:cs="Arial"/>
                <w:sz w:val="22"/>
                <w:szCs w:val="22"/>
                <w:bdr w:val="nil"/>
                <w:lang w:val="de-DE"/>
              </w:rPr>
              <w:t xml:space="preserve">en </w:t>
            </w:r>
            <w:r w:rsidRPr="00061184" w:rsidR="00061184">
              <w:rPr>
                <w:rFonts w:ascii="Arial" w:hAnsi="Arial" w:eastAsia="Arial" w:cs="Arial"/>
                <w:sz w:val="22"/>
                <w:szCs w:val="22"/>
                <w:bdr w:val="nil"/>
                <w:lang w:val="de-DE"/>
              </w:rPr>
              <w:t xml:space="preserve">ausreichende Ressourcen </w:t>
            </w:r>
            <w:r w:rsidR="00061184">
              <w:rPr>
                <w:rFonts w:ascii="Arial" w:hAnsi="Arial" w:eastAsia="Arial" w:cs="Arial"/>
                <w:sz w:val="22"/>
                <w:szCs w:val="22"/>
                <w:bdr w:val="nil"/>
                <w:lang w:val="de-DE"/>
              </w:rPr>
              <w:t>zur Verfügung haben</w:t>
            </w:r>
            <w:r>
              <w:rPr>
                <w:rFonts w:ascii="Arial" w:hAnsi="Arial" w:eastAsia="Arial" w:cs="Arial"/>
                <w:sz w:val="22"/>
                <w:szCs w:val="22"/>
                <w:bdr w:val="nil"/>
                <w:lang w:val="de-DE"/>
              </w:rPr>
              <w:t xml:space="preserve">. </w:t>
            </w:r>
          </w:p>
        </w:tc>
      </w:tr>
      <w:tr w:rsidRPr="00C0685F" w:rsidR="00D8651C" w:rsidTr="00C0685F" w14:paraId="31CE3C20" w14:textId="77777777">
        <w:trPr>
          <w:gridAfter w:val="1"/>
          <w:wAfter w:w="649" w:type="dxa"/>
        </w:trPr>
        <w:tc>
          <w:tcPr>
            <w:tcW w:w="0" w:type="auto"/>
          </w:tcPr>
          <w:p w:rsidRPr="00C0685F" w:rsidR="00DD016F" w:rsidP="004B73F0" w:rsidRDefault="00781974" w14:paraId="6D675FAC" w14:textId="28BEE3C7">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sollten, u.a. im Kontext ihrer strategischen Planung (siehe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_Ref483821749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33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frei entscheiden können, auf welche Teile ihres Mandats, ihrer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 xml:space="preserve">n und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en sie sich zu einem gegebenen Zeitpunkt konzentrieren möchten. Dies ermöglicht </w:t>
            </w:r>
            <w:r w:rsidR="00061184">
              <w:rPr>
                <w:rFonts w:ascii="Arial" w:hAnsi="Arial" w:eastAsia="Arial" w:cs="Arial"/>
                <w:sz w:val="22"/>
                <w:szCs w:val="22"/>
                <w:bdr w:val="nil"/>
                <w:lang w:val="de-DE"/>
              </w:rPr>
              <w:t xml:space="preserve">es </w:t>
            </w:r>
            <w:r w:rsidR="0078680C">
              <w:rPr>
                <w:rFonts w:ascii="Arial" w:hAnsi="Arial" w:eastAsia="Arial" w:cs="Arial"/>
                <w:sz w:val="22"/>
                <w:szCs w:val="22"/>
                <w:bdr w:val="nil"/>
                <w:lang w:val="de-DE"/>
              </w:rPr>
              <w:t xml:space="preserve">ihnen, ihre Strategie und </w:t>
            </w:r>
            <w:r w:rsidR="00061184">
              <w:rPr>
                <w:rFonts w:ascii="Arial" w:hAnsi="Arial" w:eastAsia="Arial" w:cs="Arial"/>
                <w:sz w:val="22"/>
                <w:szCs w:val="22"/>
                <w:bdr w:val="nil"/>
                <w:lang w:val="de-DE"/>
              </w:rPr>
              <w:t xml:space="preserve">Aktivitäten </w:t>
            </w:r>
            <w:r w:rsidR="0078680C">
              <w:rPr>
                <w:rFonts w:ascii="Arial" w:hAnsi="Arial" w:eastAsia="Arial" w:cs="Arial"/>
                <w:sz w:val="22"/>
                <w:szCs w:val="22"/>
                <w:bdr w:val="nil"/>
                <w:lang w:val="de-DE"/>
              </w:rPr>
              <w:t>auf d</w:t>
            </w:r>
            <w:r w:rsidR="00BE03CC">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spezifischen Bed</w:t>
            </w:r>
            <w:r w:rsidR="00BE03CC">
              <w:rPr>
                <w:rFonts w:ascii="Arial" w:hAnsi="Arial" w:eastAsia="Arial" w:cs="Arial"/>
                <w:sz w:val="22"/>
                <w:szCs w:val="22"/>
                <w:bdr w:val="nil"/>
                <w:lang w:val="de-DE"/>
              </w:rPr>
              <w:t>ürfnisse der jeweiligen</w:t>
            </w:r>
            <w:r w:rsidR="0078680C">
              <w:rPr>
                <w:rFonts w:ascii="Arial" w:hAnsi="Arial" w:eastAsia="Arial" w:cs="Arial"/>
                <w:sz w:val="22"/>
                <w:szCs w:val="22"/>
                <w:bdr w:val="nil"/>
                <w:lang w:val="de-DE"/>
              </w:rPr>
              <w:t xml:space="preserve"> Situation abzustimmen, und gibt ihnen die Flexibilität, sich an </w:t>
            </w:r>
            <w:r w:rsidR="00BE03CC">
              <w:rPr>
                <w:rFonts w:ascii="Arial" w:hAnsi="Arial" w:eastAsia="Arial" w:cs="Arial"/>
                <w:sz w:val="22"/>
                <w:szCs w:val="22"/>
                <w:bdr w:val="nil"/>
                <w:lang w:val="de-DE"/>
              </w:rPr>
              <w:t xml:space="preserve">das </w:t>
            </w:r>
            <w:r w:rsidR="0078680C">
              <w:rPr>
                <w:rFonts w:ascii="Arial" w:hAnsi="Arial" w:eastAsia="Arial" w:cs="Arial"/>
                <w:sz w:val="22"/>
                <w:szCs w:val="22"/>
                <w:bdr w:val="nil"/>
                <w:lang w:val="de-DE"/>
              </w:rPr>
              <w:t xml:space="preserve">sich stetig verändernde </w:t>
            </w:r>
            <w:r w:rsidR="00BE03CC">
              <w:rPr>
                <w:rFonts w:ascii="Arial" w:hAnsi="Arial" w:eastAsia="Arial" w:cs="Arial"/>
                <w:sz w:val="22"/>
                <w:szCs w:val="22"/>
                <w:bdr w:val="nil"/>
                <w:lang w:val="de-DE"/>
              </w:rPr>
              <w:t>Umfeld</w:t>
            </w:r>
            <w:r w:rsidR="0078680C">
              <w:rPr>
                <w:rFonts w:ascii="Arial" w:hAnsi="Arial" w:eastAsia="Arial" w:cs="Arial"/>
                <w:sz w:val="22"/>
                <w:szCs w:val="22"/>
                <w:bdr w:val="nil"/>
                <w:lang w:val="de-DE"/>
              </w:rPr>
              <w:t xml:space="preserve"> anzupassen. Diese Flexibilität ist auch notwendig, um die </w:t>
            </w:r>
            <w:r w:rsidR="00BE03CC">
              <w:rPr>
                <w:rFonts w:ascii="Arial" w:hAnsi="Arial" w:eastAsia="Arial" w:cs="Arial"/>
                <w:sz w:val="22"/>
                <w:szCs w:val="22"/>
                <w:bdr w:val="nil"/>
                <w:lang w:val="de-DE"/>
              </w:rPr>
              <w:t xml:space="preserve">begrenzten </w:t>
            </w:r>
            <w:r w:rsidR="0078680C">
              <w:rPr>
                <w:rFonts w:ascii="Arial" w:hAnsi="Arial" w:eastAsia="Arial" w:cs="Arial"/>
                <w:sz w:val="22"/>
                <w:szCs w:val="22"/>
                <w:bdr w:val="nil"/>
                <w:lang w:val="de-DE"/>
              </w:rPr>
              <w:t>Ressourcen bestmöglich einzusetzen.</w:t>
            </w:r>
          </w:p>
        </w:tc>
      </w:tr>
      <w:tr w:rsidRPr="00C0685F" w:rsidR="00D8651C" w:rsidTr="00C0685F" w14:paraId="2FC03998" w14:textId="77777777">
        <w:trPr>
          <w:gridAfter w:val="1"/>
          <w:wAfter w:w="649" w:type="dxa"/>
          <w:trHeight w:val="397"/>
        </w:trPr>
        <w:tc>
          <w:tcPr>
            <w:tcW w:w="0" w:type="auto"/>
          </w:tcPr>
          <w:p w:rsidRPr="00C0685F" w:rsidR="00DD016F" w:rsidP="004B73F0" w:rsidRDefault="00BE03CC" w14:paraId="4FE56E2B" w14:textId="68F7687E">
            <w:pPr>
              <w:pStyle w:val="berschrift11"/>
              <w:numPr>
                <w:ilvl w:val="0"/>
                <w:numId w:val="30"/>
              </w:numPr>
              <w:spacing w:before="100" w:beforeAutospacing="1" w:after="100" w:afterAutospacing="1" w:line="240" w:lineRule="exact"/>
              <w:ind w:left="743"/>
              <w:rPr>
                <w:rFonts w:ascii="Arial" w:hAnsi="Arial" w:cs="Arial"/>
                <w:szCs w:val="22"/>
                <w:lang w:val="de-DE"/>
              </w:rPr>
            </w:pPr>
            <w:r w:rsidRPr="00BE03CC">
              <w:rPr>
                <w:rFonts w:ascii="Arial" w:hAnsi="Arial" w:eastAsia="Arial" w:cs="Arial"/>
                <w:bCs/>
                <w:szCs w:val="22"/>
                <w:bdr w:val="nil"/>
                <w:lang w:val="de-DE"/>
              </w:rPr>
              <w:t>Kompetenzen im Bereich der Förderung und Prävention</w:t>
            </w:r>
          </w:p>
        </w:tc>
      </w:tr>
      <w:tr w:rsidRPr="00C0685F" w:rsidR="00D8651C" w:rsidTr="00C0685F" w14:paraId="1A07CD9E" w14:textId="77777777">
        <w:trPr>
          <w:gridAfter w:val="1"/>
          <w:wAfter w:w="649" w:type="dxa"/>
          <w:trHeight w:val="794"/>
        </w:trPr>
        <w:tc>
          <w:tcPr>
            <w:tcW w:w="0" w:type="auto"/>
          </w:tcPr>
          <w:p w:rsidRPr="006353CB" w:rsidR="00DD016F" w:rsidP="004B73F0" w:rsidRDefault="00786C47" w14:paraId="7C6E4B1D" w14:textId="1355F1C8">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_Ref474139265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13</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877D49" w:rsidR="00DD016F" w:rsidP="004B73F0" w:rsidRDefault="00781974" w14:paraId="2E44A201" w14:textId="530DE52F">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benötigen für die Umsetzung der </w:t>
            </w:r>
            <w:r w:rsidR="008A1AFD">
              <w:rPr>
                <w:rFonts w:ascii="Arial" w:hAnsi="Arial" w:eastAsia="Arial" w:cs="Arial"/>
                <w:sz w:val="22"/>
                <w:szCs w:val="22"/>
                <w:bdr w:val="nil"/>
                <w:lang w:val="de-DE"/>
              </w:rPr>
              <w:t>Förderungs- und Präventionsfunktion</w:t>
            </w:r>
            <w:r w:rsidR="0078680C">
              <w:rPr>
                <w:rFonts w:ascii="Arial" w:hAnsi="Arial" w:eastAsia="Arial" w:cs="Arial"/>
                <w:sz w:val="22"/>
                <w:szCs w:val="22"/>
                <w:bdr w:val="nil"/>
                <w:lang w:val="de-DE"/>
              </w:rPr>
              <w:t xml:space="preserve"> eine Reihe von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en. Die erste in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_Ref474139265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13</w:t>
            </w:r>
            <w:r w:rsidRPr="006353CB" w:rsidR="0078680C">
              <w:rPr>
                <w:rFonts w:ascii="Arial" w:hAnsi="Arial" w:cs="Arial"/>
                <w:sz w:val="22"/>
                <w:szCs w:val="22"/>
                <w:lang w:val="en-GB"/>
              </w:rPr>
              <w:fldChar w:fldCharType="end"/>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_Ref486586693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a</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beschriebene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 </w:t>
            </w:r>
            <w:r w:rsidR="00061184">
              <w:rPr>
                <w:rFonts w:ascii="Arial" w:hAnsi="Arial" w:eastAsia="Arial" w:cs="Arial"/>
                <w:sz w:val="22"/>
                <w:szCs w:val="22"/>
                <w:bdr w:val="nil"/>
                <w:lang w:val="de-DE"/>
              </w:rPr>
              <w:t>besteht darin,</w:t>
            </w:r>
            <w:r w:rsidR="0078680C">
              <w:rPr>
                <w:rFonts w:ascii="Arial" w:hAnsi="Arial" w:eastAsia="Arial" w:cs="Arial"/>
                <w:sz w:val="22"/>
                <w:szCs w:val="22"/>
                <w:bdr w:val="nil"/>
                <w:lang w:val="de-DE"/>
              </w:rPr>
              <w:t xml:space="preserve"> eine vollständige </w:t>
            </w:r>
            <w:r w:rsidR="00BE03CC">
              <w:rPr>
                <w:rFonts w:ascii="Arial" w:hAnsi="Arial" w:eastAsia="Arial" w:cs="Arial"/>
                <w:sz w:val="22"/>
                <w:szCs w:val="22"/>
                <w:bdr w:val="nil"/>
                <w:lang w:val="de-DE"/>
              </w:rPr>
              <w:t xml:space="preserve">Palette </w:t>
            </w:r>
            <w:r w:rsidR="0078680C">
              <w:rPr>
                <w:rFonts w:ascii="Arial" w:hAnsi="Arial" w:eastAsia="Arial" w:cs="Arial"/>
                <w:sz w:val="22"/>
                <w:szCs w:val="22"/>
                <w:bdr w:val="nil"/>
                <w:lang w:val="de-DE"/>
              </w:rPr>
              <w:t>von Förder</w:t>
            </w:r>
            <w:r w:rsidR="00BE03CC">
              <w:rPr>
                <w:rFonts w:ascii="Arial" w:hAnsi="Arial" w:eastAsia="Arial" w:cs="Arial"/>
                <w:sz w:val="22"/>
                <w:szCs w:val="22"/>
                <w:bdr w:val="nil"/>
                <w:lang w:val="de-DE"/>
              </w:rPr>
              <w:t>ungs</w:t>
            </w:r>
            <w:r w:rsidR="0078680C">
              <w:rPr>
                <w:rFonts w:ascii="Arial" w:hAnsi="Arial" w:eastAsia="Arial" w:cs="Arial"/>
                <w:sz w:val="22"/>
                <w:szCs w:val="22"/>
                <w:bdr w:val="nil"/>
                <w:lang w:val="de-DE"/>
              </w:rPr>
              <w:t>- und Präventionsmaßnahmen</w:t>
            </w:r>
            <w:r w:rsidR="00BE03CC">
              <w:rPr>
                <w:rFonts w:ascii="Arial" w:hAnsi="Arial" w:eastAsia="Arial" w:cs="Arial"/>
                <w:sz w:val="22"/>
                <w:szCs w:val="22"/>
                <w:bdr w:val="nil"/>
                <w:lang w:val="de-DE"/>
              </w:rPr>
              <w:t xml:space="preserve"> zur Erfüllung des </w:t>
            </w:r>
            <w:r w:rsidRPr="00BE03CC" w:rsidR="00BE03CC">
              <w:rPr>
                <w:rFonts w:ascii="Arial" w:hAnsi="Arial" w:eastAsia="Arial" w:cs="Arial"/>
                <w:sz w:val="22"/>
                <w:szCs w:val="22"/>
                <w:bdr w:val="nil"/>
                <w:lang w:val="de-DE"/>
              </w:rPr>
              <w:t xml:space="preserve">in </w:t>
            </w:r>
            <w:r w:rsidR="00786C47">
              <w:rPr>
                <w:rFonts w:ascii="Arial" w:hAnsi="Arial" w:eastAsia="Arial" w:cs="Arial"/>
                <w:sz w:val="22"/>
                <w:szCs w:val="22"/>
                <w:bdr w:val="nil"/>
                <w:lang w:val="de-DE"/>
              </w:rPr>
              <w:t>§ </w:t>
            </w:r>
            <w:r w:rsidRPr="00BE03CC" w:rsidR="00BE03CC">
              <w:rPr>
                <w:rFonts w:ascii="Arial" w:hAnsi="Arial" w:eastAsia="Arial" w:cs="Arial"/>
                <w:sz w:val="22"/>
                <w:szCs w:val="22"/>
                <w:bdr w:val="nil"/>
                <w:lang w:val="de-DE"/>
              </w:rPr>
              <w:t xml:space="preserve">4 der APE </w:t>
            </w:r>
            <w:r w:rsidR="00BE03CC">
              <w:rPr>
                <w:rFonts w:ascii="Arial" w:hAnsi="Arial" w:eastAsia="Arial" w:cs="Arial"/>
                <w:sz w:val="22"/>
                <w:szCs w:val="22"/>
                <w:bdr w:val="nil"/>
                <w:lang w:val="de-DE"/>
              </w:rPr>
              <w:t xml:space="preserve">beschriebenen, </w:t>
            </w:r>
            <w:r w:rsidR="0078680C">
              <w:rPr>
                <w:rFonts w:ascii="Arial" w:hAnsi="Arial" w:eastAsia="Arial" w:cs="Arial"/>
                <w:sz w:val="22"/>
                <w:szCs w:val="22"/>
                <w:bdr w:val="nil"/>
                <w:lang w:val="de-DE"/>
              </w:rPr>
              <w:t>breitgefächerte</w:t>
            </w:r>
            <w:r w:rsidR="00BE03CC">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Mandat</w:t>
            </w:r>
            <w:r w:rsidR="00BE03CC">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durchzuführen</w:t>
            </w:r>
            <w:r w:rsidR="0078680C">
              <w:rPr>
                <w:rFonts w:ascii="Arial" w:hAnsi="Arial" w:eastAsia="Arial" w:cs="Arial"/>
                <w:sz w:val="22"/>
                <w:szCs w:val="22"/>
                <w:bdr w:val="nil"/>
                <w:lang w:val="de-DE"/>
              </w:rPr>
              <w:t xml:space="preserve">. </w:t>
            </w:r>
            <w:r w:rsidR="00061184">
              <w:rPr>
                <w:rFonts w:ascii="Arial" w:hAnsi="Arial" w:eastAsia="Arial" w:cs="Arial"/>
                <w:sz w:val="22"/>
                <w:szCs w:val="22"/>
                <w:bdr w:val="nil"/>
                <w:lang w:val="de-DE"/>
              </w:rPr>
              <w:t xml:space="preserve">In den </w:t>
            </w:r>
            <w:r w:rsidR="0078680C">
              <w:rPr>
                <w:rFonts w:ascii="Arial" w:hAnsi="Arial" w:eastAsia="Arial" w:cs="Arial"/>
                <w:sz w:val="22"/>
                <w:szCs w:val="22"/>
                <w:bdr w:val="nil"/>
                <w:lang w:val="de-DE"/>
              </w:rPr>
              <w:t>folgenden Teile</w:t>
            </w:r>
            <w:r w:rsidR="00061184">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w:t>
            </w:r>
            <w:r w:rsidR="00061184">
              <w:rPr>
                <w:rFonts w:ascii="Arial" w:hAnsi="Arial" w:eastAsia="Arial" w:cs="Arial"/>
                <w:sz w:val="22"/>
                <w:szCs w:val="22"/>
                <w:bdr w:val="nil"/>
                <w:lang w:val="de-DE"/>
              </w:rPr>
              <w:t>des</w:t>
            </w:r>
            <w:r w:rsidR="0078680C">
              <w:rPr>
                <w:rFonts w:ascii="Arial" w:hAnsi="Arial" w:eastAsia="Arial" w:cs="Arial"/>
                <w:sz w:val="22"/>
                <w:szCs w:val="22"/>
                <w:bdr w:val="nil"/>
                <w:lang w:val="de-DE"/>
              </w:rPr>
              <w:t xml:space="preserv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_Ref474139265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w:t>
            </w:r>
            <w:r w:rsidR="00061184">
              <w:rPr>
                <w:rFonts w:ascii="Arial" w:hAnsi="Arial" w:eastAsia="Arial" w:cs="Arial"/>
                <w:sz w:val="22"/>
                <w:szCs w:val="22"/>
                <w:bdr w:val="nil"/>
                <w:lang w:val="de-DE"/>
              </w:rPr>
              <w:t>werden die</w:t>
            </w:r>
            <w:r w:rsidR="0078680C">
              <w:rPr>
                <w:rFonts w:ascii="Arial" w:hAnsi="Arial" w:eastAsia="Arial" w:cs="Arial"/>
                <w:sz w:val="22"/>
                <w:szCs w:val="22"/>
                <w:bdr w:val="nil"/>
                <w:lang w:val="de-DE"/>
              </w:rPr>
              <w:t xml:space="preserve"> wichtigsten Elemente </w:t>
            </w:r>
            <w:r w:rsidR="00BE03CC">
              <w:rPr>
                <w:rFonts w:ascii="Arial" w:hAnsi="Arial" w:eastAsia="Arial" w:cs="Arial"/>
                <w:sz w:val="22"/>
                <w:szCs w:val="22"/>
                <w:bdr w:val="nil"/>
                <w:lang w:val="de-DE"/>
              </w:rPr>
              <w:t>näher</w:t>
            </w:r>
            <w:r w:rsidR="00061184">
              <w:rPr>
                <w:rFonts w:ascii="Arial" w:hAnsi="Arial" w:eastAsia="Arial" w:cs="Arial"/>
                <w:sz w:val="22"/>
                <w:szCs w:val="22"/>
                <w:bdr w:val="nil"/>
                <w:lang w:val="de-DE"/>
              </w:rPr>
              <w:t xml:space="preserve"> beschrieben</w:t>
            </w:r>
            <w:r w:rsidR="0078680C">
              <w:rPr>
                <w:rFonts w:ascii="Arial" w:hAnsi="Arial" w:eastAsia="Arial" w:cs="Arial"/>
                <w:sz w:val="22"/>
                <w:szCs w:val="22"/>
                <w:bdr w:val="nil"/>
                <w:lang w:val="de-DE"/>
              </w:rPr>
              <w:t xml:space="preserve">. </w:t>
            </w:r>
          </w:p>
        </w:tc>
      </w:tr>
      <w:tr w:rsidRPr="00046FAE" w:rsidR="00D8651C" w:rsidTr="00C0685F" w14:paraId="707B0928" w14:textId="77777777">
        <w:trPr>
          <w:gridAfter w:val="1"/>
          <w:wAfter w:w="649" w:type="dxa"/>
        </w:trPr>
        <w:tc>
          <w:tcPr>
            <w:tcW w:w="0" w:type="auto"/>
          </w:tcPr>
          <w:p w:rsidRPr="00C0685F" w:rsidR="00DD016F" w:rsidP="004B73F0" w:rsidRDefault="0078680C" w14:paraId="3867E44A" w14:textId="13BB82C1">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Der Dialog zwischen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und den Personen und Gruppen, die Diskriminierung und Intoleranz erleben, </w:t>
            </w:r>
            <w:r w:rsidR="00BE03CC">
              <w:rPr>
                <w:rFonts w:ascii="Arial" w:hAnsi="Arial" w:eastAsia="Arial" w:cs="Arial"/>
                <w:sz w:val="22"/>
                <w:szCs w:val="22"/>
                <w:bdr w:val="nil"/>
                <w:lang w:val="de-DE"/>
              </w:rPr>
              <w:t>bildet die Grundlage</w:t>
            </w:r>
            <w:r>
              <w:rPr>
                <w:rFonts w:ascii="Arial" w:hAnsi="Arial" w:eastAsia="Arial" w:cs="Arial"/>
                <w:sz w:val="22"/>
                <w:szCs w:val="22"/>
                <w:bdr w:val="nil"/>
                <w:lang w:val="de-DE"/>
              </w:rPr>
              <w:t xml:space="preserve"> für die Planung und die erfolgreiche Umsetzung der </w:t>
            </w:r>
            <w:r w:rsidR="008A1AFD">
              <w:rPr>
                <w:rFonts w:ascii="Arial" w:hAnsi="Arial" w:eastAsia="Arial" w:cs="Arial"/>
                <w:sz w:val="22"/>
                <w:szCs w:val="22"/>
                <w:bdr w:val="nil"/>
                <w:lang w:val="de-DE"/>
              </w:rPr>
              <w:t>Förderungs- und Präventionsfunktion</w:t>
            </w:r>
            <w:r>
              <w:rPr>
                <w:rFonts w:ascii="Arial" w:hAnsi="Arial" w:eastAsia="Arial" w:cs="Arial"/>
                <w:sz w:val="22"/>
                <w:szCs w:val="22"/>
                <w:bdr w:val="nil"/>
                <w:lang w:val="de-DE"/>
              </w:rPr>
              <w:t>. Ein regelmäßiger</w:t>
            </w:r>
            <w:r w:rsidR="00BE03CC">
              <w:rPr>
                <w:rFonts w:ascii="Arial" w:hAnsi="Arial" w:eastAsia="Arial" w:cs="Arial"/>
                <w:sz w:val="22"/>
                <w:szCs w:val="22"/>
                <w:bdr w:val="nil"/>
                <w:lang w:val="de-DE"/>
              </w:rPr>
              <w:t>,</w:t>
            </w:r>
            <w:r>
              <w:rPr>
                <w:rFonts w:ascii="Arial" w:hAnsi="Arial" w:eastAsia="Arial" w:cs="Arial"/>
                <w:sz w:val="22"/>
                <w:szCs w:val="22"/>
                <w:bdr w:val="nil"/>
                <w:lang w:val="de-DE"/>
              </w:rPr>
              <w:t xml:space="preserve"> tiefgehender Dialog mit Gruppen, die Diskriminierung und Intoleranz ausgesetzt sind, und </w:t>
            </w:r>
            <w:r w:rsidR="00BE03CC">
              <w:rPr>
                <w:rFonts w:ascii="Arial" w:hAnsi="Arial" w:eastAsia="Arial" w:cs="Arial"/>
                <w:sz w:val="22"/>
                <w:szCs w:val="22"/>
                <w:bdr w:val="nil"/>
                <w:lang w:val="de-DE"/>
              </w:rPr>
              <w:t>mit den Organisationen, die sie vertreten,</w:t>
            </w:r>
            <w:r>
              <w:rPr>
                <w:rFonts w:ascii="Arial" w:hAnsi="Arial" w:eastAsia="Arial" w:cs="Arial"/>
                <w:sz w:val="22"/>
                <w:szCs w:val="22"/>
                <w:bdr w:val="nil"/>
                <w:lang w:val="de-DE"/>
              </w:rPr>
              <w:t xml:space="preserve"> </w:t>
            </w:r>
            <w:r w:rsidR="00BE03CC">
              <w:rPr>
                <w:rFonts w:ascii="Arial" w:hAnsi="Arial" w:eastAsia="Arial" w:cs="Arial"/>
                <w:sz w:val="22"/>
                <w:szCs w:val="22"/>
                <w:bdr w:val="nil"/>
                <w:lang w:val="de-DE"/>
              </w:rPr>
              <w:t>fördert</w:t>
            </w:r>
            <w:r>
              <w:rPr>
                <w:rFonts w:ascii="Arial" w:hAnsi="Arial" w:eastAsia="Arial" w:cs="Arial"/>
                <w:sz w:val="22"/>
                <w:szCs w:val="22"/>
                <w:bdr w:val="nil"/>
                <w:lang w:val="de-DE"/>
              </w:rPr>
              <w:t xml:space="preserve"> Erkenntnisse über die volle Bandbreite von Diskriminierung und Intoleranz</w:t>
            </w:r>
            <w:r w:rsidR="00061184">
              <w:rPr>
                <w:rFonts w:ascii="Arial" w:hAnsi="Arial" w:eastAsia="Arial" w:cs="Arial"/>
                <w:sz w:val="22"/>
                <w:szCs w:val="22"/>
                <w:bdr w:val="nil"/>
                <w:lang w:val="de-DE"/>
              </w:rPr>
              <w:t xml:space="preserve"> zu Tage</w:t>
            </w:r>
            <w:r>
              <w:rPr>
                <w:rFonts w:ascii="Arial" w:hAnsi="Arial" w:eastAsia="Arial" w:cs="Arial"/>
                <w:sz w:val="22"/>
                <w:szCs w:val="22"/>
                <w:bdr w:val="nil"/>
                <w:lang w:val="de-DE"/>
              </w:rPr>
              <w:t xml:space="preserve">, die sie erleben, und </w:t>
            </w:r>
            <w:r w:rsidR="00061184">
              <w:rPr>
                <w:rFonts w:ascii="Arial" w:hAnsi="Arial" w:eastAsia="Arial" w:cs="Arial"/>
                <w:sz w:val="22"/>
                <w:szCs w:val="22"/>
                <w:bdr w:val="nil"/>
                <w:lang w:val="de-DE"/>
              </w:rPr>
              <w:t>über die</w:t>
            </w:r>
            <w:r>
              <w:rPr>
                <w:rFonts w:ascii="Arial" w:hAnsi="Arial" w:eastAsia="Arial" w:cs="Arial"/>
                <w:sz w:val="22"/>
                <w:szCs w:val="22"/>
                <w:bdr w:val="nil"/>
                <w:lang w:val="de-DE"/>
              </w:rPr>
              <w:t xml:space="preserve"> Themen, die </w:t>
            </w:r>
            <w:r w:rsidR="00BE03CC">
              <w:rPr>
                <w:rFonts w:ascii="Arial" w:hAnsi="Arial" w:eastAsia="Arial" w:cs="Arial"/>
                <w:sz w:val="22"/>
                <w:szCs w:val="22"/>
                <w:bdr w:val="nil"/>
                <w:lang w:val="de-DE"/>
              </w:rPr>
              <w:t xml:space="preserve">vorrangig </w:t>
            </w:r>
            <w:r>
              <w:rPr>
                <w:rFonts w:ascii="Arial" w:hAnsi="Arial" w:eastAsia="Arial" w:cs="Arial"/>
                <w:sz w:val="22"/>
                <w:szCs w:val="22"/>
                <w:bdr w:val="nil"/>
                <w:lang w:val="de-DE"/>
              </w:rPr>
              <w:t>behandelt werden müssen, damit sich ihre Lage verbessert. Er ermöglicht auch d</w:t>
            </w:r>
            <w:r w:rsidR="00BE03CC">
              <w:rPr>
                <w:rFonts w:ascii="Arial" w:hAnsi="Arial" w:eastAsia="Arial" w:cs="Arial"/>
                <w:sz w:val="22"/>
                <w:szCs w:val="22"/>
                <w:bdr w:val="nil"/>
                <w:lang w:val="de-DE"/>
              </w:rPr>
              <w:t>ie</w:t>
            </w:r>
            <w:r>
              <w:rPr>
                <w:rFonts w:ascii="Arial" w:hAnsi="Arial" w:eastAsia="Arial" w:cs="Arial"/>
                <w:sz w:val="22"/>
                <w:szCs w:val="22"/>
                <w:bdr w:val="nil"/>
                <w:lang w:val="de-DE"/>
              </w:rPr>
              <w:t xml:space="preserve"> Identifizier</w:t>
            </w:r>
            <w:r w:rsidR="00BE03CC">
              <w:rPr>
                <w:rFonts w:ascii="Arial" w:hAnsi="Arial" w:eastAsia="Arial" w:cs="Arial"/>
                <w:sz w:val="22"/>
                <w:szCs w:val="22"/>
                <w:bdr w:val="nil"/>
                <w:lang w:val="de-DE"/>
              </w:rPr>
              <w:t>ung</w:t>
            </w:r>
            <w:r>
              <w:rPr>
                <w:rFonts w:ascii="Arial" w:hAnsi="Arial" w:eastAsia="Arial" w:cs="Arial"/>
                <w:sz w:val="22"/>
                <w:szCs w:val="22"/>
                <w:bdr w:val="nil"/>
                <w:lang w:val="de-DE"/>
              </w:rPr>
              <w:t xml:space="preserve"> erfolgreicher Wege </w:t>
            </w:r>
            <w:r w:rsidR="00BE03CC">
              <w:rPr>
                <w:rFonts w:ascii="Arial" w:hAnsi="Arial" w:eastAsia="Arial" w:cs="Arial"/>
                <w:sz w:val="22"/>
                <w:szCs w:val="22"/>
                <w:bdr w:val="nil"/>
                <w:lang w:val="de-DE"/>
              </w:rPr>
              <w:t>zur Lösung wiederkehrender</w:t>
            </w:r>
            <w:r>
              <w:rPr>
                <w:rFonts w:ascii="Arial" w:hAnsi="Arial" w:eastAsia="Arial" w:cs="Arial"/>
                <w:sz w:val="22"/>
                <w:szCs w:val="22"/>
                <w:bdr w:val="nil"/>
                <w:lang w:val="de-DE"/>
              </w:rPr>
              <w:t xml:space="preserve"> Muster von individueller und struktureller Diskriminierung. </w:t>
            </w:r>
          </w:p>
          <w:p w:rsidRPr="00C0685F" w:rsidR="00DD016F" w:rsidP="004B73F0" w:rsidRDefault="0078680C" w14:paraId="04ADC613" w14:textId="0CFF411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Dieser Dialog sollte zum Ziel haben, die Situation und </w:t>
            </w:r>
            <w:r w:rsidR="0026552B">
              <w:rPr>
                <w:rFonts w:ascii="Arial" w:hAnsi="Arial" w:eastAsia="Arial" w:cs="Arial"/>
                <w:sz w:val="22"/>
                <w:szCs w:val="22"/>
                <w:bdr w:val="nil"/>
                <w:lang w:val="de-DE"/>
              </w:rPr>
              <w:t>Probleme</w:t>
            </w:r>
            <w:r>
              <w:rPr>
                <w:rFonts w:ascii="Arial" w:hAnsi="Arial" w:eastAsia="Arial" w:cs="Arial"/>
                <w:sz w:val="22"/>
                <w:szCs w:val="22"/>
                <w:bdr w:val="nil"/>
                <w:lang w:val="de-DE"/>
              </w:rPr>
              <w:t xml:space="preserve"> von Gruppen zu verstehen, die Diskriminierung und Intoleranz ausgesetzt sind; diese Gruppen und </w:t>
            </w:r>
            <w:r w:rsidR="0026552B">
              <w:rPr>
                <w:rFonts w:ascii="Arial" w:hAnsi="Arial" w:eastAsia="Arial" w:cs="Arial"/>
                <w:sz w:val="22"/>
                <w:szCs w:val="22"/>
                <w:bdr w:val="nil"/>
                <w:lang w:val="de-DE"/>
              </w:rPr>
              <w:t>die sie vertretenden O</w:t>
            </w:r>
            <w:r>
              <w:rPr>
                <w:rFonts w:ascii="Arial" w:hAnsi="Arial" w:eastAsia="Arial" w:cs="Arial"/>
                <w:sz w:val="22"/>
                <w:szCs w:val="22"/>
                <w:bdr w:val="nil"/>
                <w:lang w:val="de-DE"/>
              </w:rPr>
              <w:t xml:space="preserve">rganisationen in die Aktivitäten und Strukturen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einzubeziehen (siehe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37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gegenseitige Lernprozesse durch den Austausch von Wissen und Fachkenntnissen einzuleiten; und eine regelmäßige Präsenz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in diesen Gemeinschaften zu gewährleisten, um Vertrauen aufzubauen und das Melden </w:t>
            </w:r>
            <w:r w:rsidR="00F60132">
              <w:rPr>
                <w:rFonts w:ascii="Arial" w:hAnsi="Arial" w:eastAsia="Arial" w:cs="Arial"/>
                <w:sz w:val="22"/>
                <w:szCs w:val="22"/>
                <w:bdr w:val="nil"/>
                <w:lang w:val="de-DE"/>
              </w:rPr>
              <w:t xml:space="preserve">und Anzeigen </w:t>
            </w:r>
            <w:r>
              <w:rPr>
                <w:rFonts w:ascii="Arial" w:hAnsi="Arial" w:eastAsia="Arial" w:cs="Arial"/>
                <w:sz w:val="22"/>
                <w:szCs w:val="22"/>
                <w:bdr w:val="nil"/>
                <w:lang w:val="de-DE"/>
              </w:rPr>
              <w:t>von Fällen von Diskriminierung und Intoleranz zu unterstützen.</w:t>
            </w:r>
          </w:p>
          <w:p w:rsidRPr="00C0685F" w:rsidR="00DD016F" w:rsidP="004B73F0" w:rsidRDefault="0078680C" w14:paraId="19947C8E" w14:textId="10A146CC">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Der Dialog sollte möglichst viele gesellschaftliche Gruppen einschließen und eine</w:t>
            </w:r>
            <w:r w:rsidR="0026552B">
              <w:rPr>
                <w:rFonts w:ascii="Arial" w:hAnsi="Arial" w:eastAsia="Arial" w:cs="Arial"/>
                <w:sz w:val="22"/>
                <w:szCs w:val="22"/>
                <w:bdr w:val="nil"/>
                <w:lang w:val="de-DE"/>
              </w:rPr>
              <w:t xml:space="preserve"> große</w:t>
            </w:r>
            <w:r>
              <w:rPr>
                <w:rFonts w:ascii="Arial" w:hAnsi="Arial" w:eastAsia="Arial" w:cs="Arial"/>
                <w:sz w:val="22"/>
                <w:szCs w:val="22"/>
                <w:bdr w:val="nil"/>
                <w:lang w:val="de-DE"/>
              </w:rPr>
              <w:t xml:space="preserve"> Bandbreite von Organisationen einbeziehen, z. B. </w:t>
            </w:r>
            <w:r w:rsidR="0026552B">
              <w:rPr>
                <w:rFonts w:ascii="Arial" w:hAnsi="Arial" w:eastAsia="Arial" w:cs="Arial"/>
                <w:sz w:val="22"/>
                <w:szCs w:val="22"/>
                <w:bdr w:val="nil"/>
                <w:lang w:val="de-DE"/>
              </w:rPr>
              <w:t>O</w:t>
            </w:r>
            <w:r>
              <w:rPr>
                <w:rFonts w:ascii="Arial" w:hAnsi="Arial" w:eastAsia="Arial" w:cs="Arial"/>
                <w:sz w:val="22"/>
                <w:szCs w:val="22"/>
                <w:bdr w:val="nil"/>
                <w:lang w:val="de-DE"/>
              </w:rPr>
              <w:t xml:space="preserve">rganisationen </w:t>
            </w:r>
            <w:r w:rsidR="0026552B">
              <w:rPr>
                <w:rFonts w:ascii="Arial" w:hAnsi="Arial" w:eastAsia="Arial" w:cs="Arial"/>
                <w:sz w:val="22"/>
                <w:szCs w:val="22"/>
                <w:bdr w:val="nil"/>
                <w:lang w:val="de-DE"/>
              </w:rPr>
              <w:t xml:space="preserve">die </w:t>
            </w:r>
            <w:r>
              <w:rPr>
                <w:rFonts w:ascii="Arial" w:hAnsi="Arial" w:eastAsia="Arial" w:cs="Arial"/>
                <w:sz w:val="22"/>
                <w:szCs w:val="22"/>
                <w:bdr w:val="nil"/>
                <w:lang w:val="de-DE"/>
              </w:rPr>
              <w:t>in diesen Gemeinschaften</w:t>
            </w:r>
            <w:r w:rsidR="0026552B">
              <w:rPr>
                <w:rFonts w:ascii="Arial" w:hAnsi="Arial" w:eastAsia="Arial" w:cs="Arial"/>
                <w:sz w:val="22"/>
                <w:szCs w:val="22"/>
                <w:bdr w:val="nil"/>
                <w:lang w:val="de-DE"/>
              </w:rPr>
              <w:t xml:space="preserve"> an der Basis tätig sind</w:t>
            </w:r>
            <w:r>
              <w:rPr>
                <w:rFonts w:ascii="Arial" w:hAnsi="Arial" w:eastAsia="Arial" w:cs="Arial"/>
                <w:sz w:val="22"/>
                <w:szCs w:val="22"/>
                <w:bdr w:val="nil"/>
                <w:lang w:val="de-DE"/>
              </w:rPr>
              <w:t xml:space="preserve">, Gremien </w:t>
            </w:r>
            <w:r w:rsidR="0026552B">
              <w:rPr>
                <w:rFonts w:ascii="Arial" w:hAnsi="Arial" w:eastAsia="Arial" w:cs="Arial"/>
                <w:sz w:val="22"/>
                <w:szCs w:val="22"/>
                <w:bdr w:val="nil"/>
                <w:lang w:val="de-DE"/>
              </w:rPr>
              <w:t xml:space="preserve">für die Beteiligung </w:t>
            </w:r>
            <w:r>
              <w:rPr>
                <w:rFonts w:ascii="Arial" w:hAnsi="Arial" w:eastAsia="Arial" w:cs="Arial"/>
                <w:sz w:val="22"/>
                <w:szCs w:val="22"/>
                <w:bdr w:val="nil"/>
                <w:lang w:val="de-DE"/>
              </w:rPr>
              <w:t xml:space="preserve">von Minderheiten, religiöse Gemeinschaften, zivilgesellschaftliche Organisationen und andere </w:t>
            </w:r>
            <w:r w:rsidR="00B210C0">
              <w:rPr>
                <w:rFonts w:ascii="Arial" w:hAnsi="Arial" w:eastAsia="Arial" w:cs="Arial"/>
                <w:sz w:val="22"/>
                <w:szCs w:val="22"/>
                <w:bdr w:val="nil"/>
                <w:lang w:val="de-DE"/>
              </w:rPr>
              <w:t>Stakeholder</w:t>
            </w:r>
            <w:r>
              <w:rPr>
                <w:rFonts w:ascii="Arial" w:hAnsi="Arial" w:eastAsia="Arial" w:cs="Arial"/>
                <w:sz w:val="22"/>
                <w:szCs w:val="22"/>
                <w:bdr w:val="nil"/>
                <w:lang w:val="de-DE"/>
              </w:rPr>
              <w:t xml:space="preserve">, die sich für Gruppen einsetzen, die Diskriminierung und Intoleranz </w:t>
            </w:r>
            <w:r w:rsidR="0026552B">
              <w:rPr>
                <w:rFonts w:ascii="Arial" w:hAnsi="Arial" w:eastAsia="Arial" w:cs="Arial"/>
                <w:sz w:val="22"/>
                <w:szCs w:val="22"/>
                <w:bdr w:val="nil"/>
                <w:lang w:val="de-DE"/>
              </w:rPr>
              <w:t>ausgesetzt sind</w:t>
            </w:r>
            <w:r>
              <w:rPr>
                <w:rFonts w:ascii="Arial" w:hAnsi="Arial" w:eastAsia="Arial" w:cs="Arial"/>
                <w:sz w:val="22"/>
                <w:szCs w:val="22"/>
                <w:bdr w:val="nil"/>
                <w:lang w:val="de-DE"/>
              </w:rPr>
              <w:t xml:space="preserve">, </w:t>
            </w:r>
            <w:r w:rsidR="00F60132">
              <w:rPr>
                <w:rFonts w:ascii="Arial" w:hAnsi="Arial" w:eastAsia="Arial" w:cs="Arial"/>
                <w:sz w:val="22"/>
                <w:szCs w:val="22"/>
                <w:bdr w:val="nil"/>
                <w:lang w:val="de-DE"/>
              </w:rPr>
              <w:t xml:space="preserve">wie </w:t>
            </w:r>
            <w:r>
              <w:rPr>
                <w:rFonts w:ascii="Arial" w:hAnsi="Arial" w:eastAsia="Arial" w:cs="Arial"/>
                <w:sz w:val="22"/>
                <w:szCs w:val="22"/>
                <w:bdr w:val="nil"/>
                <w:lang w:val="de-DE"/>
              </w:rPr>
              <w:t>z.B. Gewerkschaften und Berufsverbände.</w:t>
            </w:r>
          </w:p>
        </w:tc>
      </w:tr>
      <w:tr w:rsidRPr="00C0685F" w:rsidR="00D8651C" w:rsidTr="00C0685F" w14:paraId="1F477D87" w14:textId="77777777">
        <w:trPr>
          <w:gridAfter w:val="1"/>
          <w:wAfter w:w="649" w:type="dxa"/>
        </w:trPr>
        <w:tc>
          <w:tcPr>
            <w:tcW w:w="0" w:type="auto"/>
          </w:tcPr>
          <w:p w:rsidRPr="00C0685F" w:rsidR="00DD016F" w:rsidP="004B73F0" w:rsidRDefault="00781974" w14:paraId="3B1B3EDD" w14:textId="07400A8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n sollten das Recht haben, alle Angelegenheiten, die unter ihr Mandat fallen</w:t>
            </w:r>
            <w:r w:rsidR="00F60132">
              <w:rPr>
                <w:rFonts w:ascii="Arial" w:hAnsi="Arial" w:eastAsia="Arial" w:cs="Arial"/>
                <w:sz w:val="22"/>
                <w:szCs w:val="22"/>
                <w:bdr w:val="nil"/>
                <w:lang w:val="de-DE"/>
              </w:rPr>
              <w:t>, aus eigener Initiative aufzugreifen</w:t>
            </w:r>
            <w:r w:rsidR="0078680C">
              <w:rPr>
                <w:rFonts w:ascii="Arial" w:hAnsi="Arial" w:eastAsia="Arial" w:cs="Arial"/>
                <w:sz w:val="22"/>
                <w:szCs w:val="22"/>
                <w:bdr w:val="nil"/>
                <w:lang w:val="de-DE"/>
              </w:rPr>
              <w:t xml:space="preserve">. Da </w:t>
            </w:r>
            <w:r w:rsidR="00F60132">
              <w:rPr>
                <w:rFonts w:ascii="Arial" w:hAnsi="Arial" w:eastAsia="Arial" w:cs="Arial"/>
                <w:sz w:val="22"/>
                <w:szCs w:val="22"/>
                <w:bdr w:val="nil"/>
                <w:lang w:val="de-DE"/>
              </w:rPr>
              <w:t xml:space="preserve">sich </w:t>
            </w:r>
            <w:r w:rsidR="0078680C">
              <w:rPr>
                <w:rFonts w:ascii="Arial" w:hAnsi="Arial" w:eastAsia="Arial" w:cs="Arial"/>
                <w:sz w:val="22"/>
                <w:szCs w:val="22"/>
                <w:bdr w:val="nil"/>
                <w:lang w:val="de-DE"/>
              </w:rPr>
              <w:t>Menschen, die Diskriminierung und Intoleranz ausgesetzt sind, häufig in einer verletzlichen Position befinden und nicht in der Lage sind, selbst</w:t>
            </w:r>
            <w:r w:rsidR="0026552B">
              <w:rPr>
                <w:rFonts w:ascii="Arial" w:hAnsi="Arial" w:eastAsia="Arial" w:cs="Arial"/>
                <w:sz w:val="22"/>
                <w:szCs w:val="22"/>
                <w:bdr w:val="nil"/>
                <w:lang w:val="de-DE"/>
              </w:rPr>
              <w:t>ständig</w:t>
            </w:r>
            <w:r w:rsidR="0078680C">
              <w:rPr>
                <w:rFonts w:ascii="Arial" w:hAnsi="Arial" w:eastAsia="Arial" w:cs="Arial"/>
                <w:sz w:val="22"/>
                <w:szCs w:val="22"/>
                <w:bdr w:val="nil"/>
                <w:lang w:val="de-DE"/>
              </w:rPr>
              <w:t xml:space="preserve"> gegen strukturelle Diskriminierung vorzugehen, ist es wichtig, dass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sidR="0026552B">
              <w:rPr>
                <w:rFonts w:ascii="Arial" w:hAnsi="Arial" w:eastAsia="Arial" w:cs="Arial"/>
                <w:sz w:val="22"/>
                <w:szCs w:val="22"/>
                <w:bdr w:val="nil"/>
                <w:lang w:val="de-DE"/>
              </w:rPr>
              <w:t xml:space="preserve">aus eigener Initiative </w:t>
            </w:r>
            <w:r w:rsidR="0078680C">
              <w:rPr>
                <w:rFonts w:ascii="Arial" w:hAnsi="Arial" w:eastAsia="Arial" w:cs="Arial"/>
                <w:sz w:val="22"/>
                <w:szCs w:val="22"/>
                <w:bdr w:val="nil"/>
                <w:lang w:val="de-DE"/>
              </w:rPr>
              <w:t>Nachforschungen (in einigen Staaten wird der Terminus Untersuchung verwendet) und Beweise</w:t>
            </w:r>
            <w:r w:rsidR="00F60132">
              <w:rPr>
                <w:rFonts w:ascii="Arial" w:hAnsi="Arial" w:eastAsia="Arial" w:cs="Arial"/>
                <w:sz w:val="22"/>
                <w:szCs w:val="22"/>
                <w:bdr w:val="nil"/>
                <w:lang w:val="de-DE"/>
              </w:rPr>
              <w:t>rhebungen aus eigener Initiative durchführen</w:t>
            </w:r>
            <w:r w:rsidR="0026552B">
              <w:rPr>
                <w:rFonts w:ascii="Arial" w:hAnsi="Arial" w:eastAsia="Arial" w:cs="Arial"/>
                <w:sz w:val="22"/>
                <w:szCs w:val="22"/>
                <w:bdr w:val="nil"/>
                <w:lang w:val="de-DE"/>
              </w:rPr>
              <w:t xml:space="preserve"> dürfen</w:t>
            </w:r>
            <w:r w:rsidR="0078680C">
              <w:rPr>
                <w:rFonts w:ascii="Arial" w:hAnsi="Arial" w:eastAsia="Arial" w:cs="Arial"/>
                <w:sz w:val="22"/>
                <w:szCs w:val="22"/>
                <w:bdr w:val="nil"/>
                <w:lang w:val="de-DE"/>
              </w:rPr>
              <w:t xml:space="preserve">, um die </w:t>
            </w:r>
            <w:r w:rsidR="0026552B">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manchmal unsichtbaren </w:t>
            </w:r>
            <w:r w:rsidR="0026552B">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Normen und Prozesse innerhalb von Institutionen </w:t>
            </w:r>
            <w:r w:rsidR="0026552B">
              <w:rPr>
                <w:rFonts w:ascii="Arial" w:hAnsi="Arial" w:eastAsia="Arial" w:cs="Arial"/>
                <w:sz w:val="22"/>
                <w:szCs w:val="22"/>
                <w:bdr w:val="nil"/>
                <w:lang w:val="de-DE"/>
              </w:rPr>
              <w:t>feststellen</w:t>
            </w:r>
            <w:r w:rsidR="0078680C">
              <w:rPr>
                <w:rFonts w:ascii="Arial" w:hAnsi="Arial" w:eastAsia="Arial" w:cs="Arial"/>
                <w:sz w:val="22"/>
                <w:szCs w:val="22"/>
                <w:bdr w:val="nil"/>
                <w:lang w:val="de-DE"/>
              </w:rPr>
              <w:t xml:space="preserve">, offenlegen und </w:t>
            </w:r>
            <w:r w:rsidR="0026552B">
              <w:rPr>
                <w:rFonts w:ascii="Arial" w:hAnsi="Arial" w:eastAsia="Arial" w:cs="Arial"/>
                <w:sz w:val="22"/>
                <w:szCs w:val="22"/>
                <w:bdr w:val="nil"/>
                <w:lang w:val="de-DE"/>
              </w:rPr>
              <w:t>behandeln</w:t>
            </w:r>
            <w:r w:rsidR="00F60132">
              <w:rPr>
                <w:rFonts w:ascii="Arial" w:hAnsi="Arial" w:eastAsia="Arial" w:cs="Arial"/>
                <w:sz w:val="22"/>
                <w:szCs w:val="22"/>
                <w:bdr w:val="nil"/>
                <w:lang w:val="de-DE"/>
              </w:rPr>
              <w:t xml:space="preserve"> zu können</w:t>
            </w:r>
            <w:r w:rsidR="0078680C">
              <w:rPr>
                <w:rFonts w:ascii="Arial" w:hAnsi="Arial" w:eastAsia="Arial" w:cs="Arial"/>
                <w:sz w:val="22"/>
                <w:szCs w:val="22"/>
                <w:bdr w:val="nil"/>
                <w:lang w:val="de-DE"/>
              </w:rPr>
              <w:t xml:space="preserve">, die </w:t>
            </w:r>
            <w:r w:rsidR="0026552B">
              <w:rPr>
                <w:rFonts w:ascii="Arial" w:hAnsi="Arial" w:eastAsia="Arial" w:cs="Arial"/>
                <w:sz w:val="22"/>
                <w:szCs w:val="22"/>
                <w:bdr w:val="nil"/>
                <w:lang w:val="de-DE"/>
              </w:rPr>
              <w:t xml:space="preserve">im Endeffekt zur Benachteiligung </w:t>
            </w:r>
            <w:r w:rsidR="0078680C">
              <w:rPr>
                <w:rFonts w:ascii="Arial" w:hAnsi="Arial" w:eastAsia="Arial" w:cs="Arial"/>
                <w:sz w:val="22"/>
                <w:szCs w:val="22"/>
                <w:bdr w:val="nil"/>
                <w:lang w:val="de-DE"/>
              </w:rPr>
              <w:t>bestimmte</w:t>
            </w:r>
            <w:r w:rsidR="0026552B">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Gruppen </w:t>
            </w:r>
            <w:r w:rsidR="0026552B">
              <w:rPr>
                <w:rFonts w:ascii="Arial" w:hAnsi="Arial" w:eastAsia="Arial" w:cs="Arial"/>
                <w:sz w:val="22"/>
                <w:szCs w:val="22"/>
                <w:bdr w:val="nil"/>
                <w:lang w:val="de-DE"/>
              </w:rPr>
              <w:t>führen</w:t>
            </w:r>
            <w:r w:rsidR="0078680C">
              <w:rPr>
                <w:rFonts w:ascii="Arial" w:hAnsi="Arial" w:eastAsia="Arial" w:cs="Arial"/>
                <w:sz w:val="22"/>
                <w:szCs w:val="22"/>
                <w:bdr w:val="nil"/>
                <w:lang w:val="de-DE"/>
              </w:rPr>
              <w:t xml:space="preserve">. Diese </w:t>
            </w:r>
            <w:r w:rsidR="0026552B">
              <w:rPr>
                <w:rFonts w:ascii="Arial" w:hAnsi="Arial" w:eastAsia="Arial" w:cs="Arial"/>
                <w:sz w:val="22"/>
                <w:szCs w:val="22"/>
                <w:bdr w:val="nil"/>
                <w:lang w:val="de-DE"/>
              </w:rPr>
              <w:t>Untersuchungs</w:t>
            </w:r>
            <w:r w:rsidR="0078680C">
              <w:rPr>
                <w:rFonts w:ascii="Arial" w:hAnsi="Arial" w:eastAsia="Arial" w:cs="Arial"/>
                <w:sz w:val="22"/>
                <w:szCs w:val="22"/>
                <w:bdr w:val="nil"/>
                <w:lang w:val="de-DE"/>
              </w:rPr>
              <w:t>tätigkeit ist für das Aufdecken und Nachweisen von Diskriminierung oder Intoleranz</w:t>
            </w:r>
            <w:r w:rsidR="00F60132">
              <w:rPr>
                <w:rFonts w:ascii="Arial" w:hAnsi="Arial" w:eastAsia="Arial" w:cs="Arial"/>
                <w:sz w:val="22"/>
                <w:szCs w:val="22"/>
                <w:bdr w:val="nil"/>
                <w:lang w:val="de-DE"/>
              </w:rPr>
              <w:t xml:space="preserve"> und dafür wichtig, </w:t>
            </w:r>
            <w:r w:rsidR="0078680C">
              <w:rPr>
                <w:rFonts w:ascii="Arial" w:hAnsi="Arial" w:eastAsia="Arial" w:cs="Arial"/>
                <w:sz w:val="22"/>
                <w:szCs w:val="22"/>
                <w:bdr w:val="nil"/>
                <w:lang w:val="de-DE"/>
              </w:rPr>
              <w:t xml:space="preserve">dass diese Benachteiligungen </w:t>
            </w:r>
            <w:r w:rsidR="00F60132">
              <w:rPr>
                <w:rFonts w:ascii="Arial" w:hAnsi="Arial" w:eastAsia="Arial" w:cs="Arial"/>
                <w:sz w:val="22"/>
                <w:szCs w:val="22"/>
                <w:bdr w:val="nil"/>
                <w:lang w:val="de-DE"/>
              </w:rPr>
              <w:t xml:space="preserve">letztendlich </w:t>
            </w:r>
            <w:r w:rsidR="0078680C">
              <w:rPr>
                <w:rFonts w:ascii="Arial" w:hAnsi="Arial" w:eastAsia="Arial" w:cs="Arial"/>
                <w:sz w:val="22"/>
                <w:szCs w:val="22"/>
                <w:bdr w:val="nil"/>
                <w:lang w:val="de-DE"/>
              </w:rPr>
              <w:t>beseitigt werden</w:t>
            </w:r>
            <w:r w:rsidR="0026552B">
              <w:rPr>
                <w:rFonts w:ascii="Arial" w:hAnsi="Arial" w:eastAsia="Arial" w:cs="Arial"/>
                <w:sz w:val="22"/>
                <w:szCs w:val="22"/>
                <w:bdr w:val="nil"/>
                <w:lang w:val="de-DE"/>
              </w:rPr>
              <w:t xml:space="preserve"> können</w:t>
            </w:r>
            <w:r w:rsidR="0078680C">
              <w:rPr>
                <w:rFonts w:ascii="Arial" w:hAnsi="Arial" w:eastAsia="Arial" w:cs="Arial"/>
                <w:sz w:val="22"/>
                <w:szCs w:val="22"/>
                <w:bdr w:val="nil"/>
                <w:lang w:val="de-DE"/>
              </w:rPr>
              <w:t xml:space="preserve">. </w:t>
            </w:r>
            <w:r w:rsidR="00A27793">
              <w:rPr>
                <w:rFonts w:ascii="Arial" w:hAnsi="Arial" w:eastAsia="Arial" w:cs="Arial"/>
                <w:sz w:val="22"/>
                <w:szCs w:val="22"/>
                <w:bdr w:val="nil"/>
                <w:lang w:val="de-DE"/>
              </w:rPr>
              <w:t xml:space="preserve">In </w:t>
            </w:r>
            <w:r w:rsidR="0078680C">
              <w:rPr>
                <w:rFonts w:ascii="Arial" w:hAnsi="Arial" w:eastAsia="Arial" w:cs="Arial"/>
                <w:sz w:val="22"/>
                <w:szCs w:val="22"/>
                <w:bdr w:val="nil"/>
                <w:lang w:val="de-DE"/>
              </w:rPr>
              <w:t xml:space="preserve">Fällen und </w:t>
            </w:r>
            <w:r w:rsidR="0026552B">
              <w:rPr>
                <w:rFonts w:ascii="Arial" w:hAnsi="Arial" w:eastAsia="Arial" w:cs="Arial"/>
                <w:sz w:val="22"/>
                <w:szCs w:val="22"/>
                <w:bdr w:val="nil"/>
                <w:lang w:val="de-DE"/>
              </w:rPr>
              <w:t>Untersuchungen</w:t>
            </w:r>
            <w:r w:rsidR="0078680C">
              <w:rPr>
                <w:rFonts w:ascii="Arial" w:hAnsi="Arial" w:eastAsia="Arial" w:cs="Arial"/>
                <w:sz w:val="22"/>
                <w:szCs w:val="22"/>
                <w:bdr w:val="nil"/>
                <w:lang w:val="de-DE"/>
              </w:rPr>
              <w:t xml:space="preserve">, die konkrete Personen </w:t>
            </w:r>
            <w:r w:rsidR="0026552B">
              <w:rPr>
                <w:rFonts w:ascii="Arial" w:hAnsi="Arial" w:eastAsia="Arial" w:cs="Arial"/>
                <w:sz w:val="22"/>
                <w:szCs w:val="22"/>
                <w:bdr w:val="nil"/>
                <w:lang w:val="de-DE"/>
              </w:rPr>
              <w:t>betreffen</w:t>
            </w:r>
            <w:r w:rsidR="0078680C">
              <w:rPr>
                <w:rFonts w:ascii="Arial" w:hAnsi="Arial" w:eastAsia="Arial" w:cs="Arial"/>
                <w:sz w:val="22"/>
                <w:szCs w:val="22"/>
                <w:bdr w:val="nil"/>
                <w:lang w:val="de-DE"/>
              </w:rPr>
              <w:t xml:space="preserve">, sollte die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nur mit deren Einwilligung handeln. </w:t>
            </w:r>
          </w:p>
        </w:tc>
      </w:tr>
      <w:tr w:rsidRPr="00046FAE" w:rsidR="00D8651C" w:rsidTr="00C0685F" w14:paraId="2719309B" w14:textId="77777777">
        <w:trPr>
          <w:gridAfter w:val="1"/>
          <w:wAfter w:w="649" w:type="dxa"/>
        </w:trPr>
        <w:tc>
          <w:tcPr>
            <w:tcW w:w="0" w:type="auto"/>
          </w:tcPr>
          <w:p w:rsidRPr="006C29B1" w:rsidR="00DD016F" w:rsidP="004B73F0" w:rsidRDefault="0078680C" w14:paraId="14A76456" w14:textId="2FA0532D">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Forschung ist ein wichtiges Mittel </w:t>
            </w:r>
            <w:r w:rsidR="00A27793">
              <w:rPr>
                <w:rFonts w:ascii="Arial" w:hAnsi="Arial" w:eastAsia="Arial" w:cs="Arial"/>
                <w:sz w:val="22"/>
                <w:szCs w:val="22"/>
                <w:bdr w:val="nil"/>
                <w:lang w:val="de-DE"/>
              </w:rPr>
              <w:t>dafür, das</w:t>
            </w:r>
            <w:r w:rsidR="0026552B">
              <w:rPr>
                <w:rFonts w:ascii="Arial" w:hAnsi="Arial" w:eastAsia="Arial" w:cs="Arial"/>
                <w:sz w:val="22"/>
                <w:szCs w:val="22"/>
                <w:bdr w:val="nil"/>
                <w:lang w:val="de-DE"/>
              </w:rPr>
              <w:t xml:space="preserve"> </w:t>
            </w:r>
            <w:r>
              <w:rPr>
                <w:rFonts w:ascii="Arial" w:hAnsi="Arial" w:eastAsia="Arial" w:cs="Arial"/>
                <w:sz w:val="22"/>
                <w:szCs w:val="22"/>
                <w:bdr w:val="nil"/>
                <w:lang w:val="de-DE"/>
              </w:rPr>
              <w:t>Wissen</w:t>
            </w:r>
            <w:r w:rsidR="0026552B">
              <w:rPr>
                <w:rFonts w:ascii="Arial" w:hAnsi="Arial" w:eastAsia="Arial" w:cs="Arial"/>
                <w:sz w:val="22"/>
                <w:szCs w:val="22"/>
                <w:bdr w:val="nil"/>
                <w:lang w:val="de-DE"/>
              </w:rPr>
              <w:t>s</w:t>
            </w:r>
            <w:r>
              <w:rPr>
                <w:rFonts w:ascii="Arial" w:hAnsi="Arial" w:eastAsia="Arial" w:cs="Arial"/>
                <w:sz w:val="22"/>
                <w:szCs w:val="22"/>
                <w:bdr w:val="nil"/>
                <w:lang w:val="de-DE"/>
              </w:rPr>
              <w:t xml:space="preserve"> und Verständnis</w:t>
            </w:r>
            <w:r w:rsidR="00A27793">
              <w:rPr>
                <w:rFonts w:ascii="Arial" w:hAnsi="Arial" w:eastAsia="Arial" w:cs="Arial"/>
                <w:sz w:val="22"/>
                <w:szCs w:val="22"/>
                <w:bdr w:val="nil"/>
                <w:lang w:val="de-DE"/>
              </w:rPr>
              <w:t xml:space="preserve"> zu entwickeln</w:t>
            </w:r>
            <w:r>
              <w:rPr>
                <w:rFonts w:ascii="Arial" w:hAnsi="Arial" w:eastAsia="Arial" w:cs="Arial"/>
                <w:sz w:val="22"/>
                <w:szCs w:val="22"/>
                <w:bdr w:val="nil"/>
                <w:lang w:val="de-DE"/>
              </w:rPr>
              <w:t xml:space="preserve">, die notwendig sind, um die Probleme zu </w:t>
            </w:r>
            <w:r w:rsidR="0026552B">
              <w:rPr>
                <w:rFonts w:ascii="Arial" w:hAnsi="Arial" w:eastAsia="Arial" w:cs="Arial"/>
                <w:sz w:val="22"/>
                <w:szCs w:val="22"/>
                <w:bdr w:val="nil"/>
                <w:lang w:val="de-DE"/>
              </w:rPr>
              <w:t xml:space="preserve">erkennen, zu </w:t>
            </w:r>
            <w:r>
              <w:rPr>
                <w:rFonts w:ascii="Arial" w:hAnsi="Arial" w:eastAsia="Arial" w:cs="Arial"/>
                <w:sz w:val="22"/>
                <w:szCs w:val="22"/>
                <w:bdr w:val="nil"/>
                <w:lang w:val="de-DE"/>
              </w:rPr>
              <w:t xml:space="preserve">analysieren und </w:t>
            </w:r>
            <w:r w:rsidR="0026552B">
              <w:rPr>
                <w:rFonts w:ascii="Arial" w:hAnsi="Arial" w:eastAsia="Arial" w:cs="Arial"/>
                <w:sz w:val="22"/>
                <w:szCs w:val="22"/>
                <w:bdr w:val="nil"/>
                <w:lang w:val="de-DE"/>
              </w:rPr>
              <w:t>zu bewältigen</w:t>
            </w:r>
            <w:r>
              <w:rPr>
                <w:rFonts w:ascii="Arial" w:hAnsi="Arial" w:eastAsia="Arial" w:cs="Arial"/>
                <w:sz w:val="22"/>
                <w:szCs w:val="22"/>
                <w:bdr w:val="nil"/>
                <w:lang w:val="de-DE"/>
              </w:rPr>
              <w:t>, mit denen Gruppen</w:t>
            </w:r>
            <w:r w:rsidR="0026552B">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konfrontiert </w:t>
            </w:r>
            <w:r w:rsidR="0026552B">
              <w:rPr>
                <w:rFonts w:ascii="Arial" w:hAnsi="Arial" w:eastAsia="Arial" w:cs="Arial"/>
                <w:sz w:val="22"/>
                <w:szCs w:val="22"/>
                <w:bdr w:val="nil"/>
                <w:lang w:val="de-DE"/>
              </w:rPr>
              <w:t xml:space="preserve">sind, </w:t>
            </w:r>
            <w:r w:rsidRPr="0026552B" w:rsidR="0026552B">
              <w:rPr>
                <w:rFonts w:ascii="Arial" w:hAnsi="Arial" w:eastAsia="Arial" w:cs="Arial"/>
                <w:sz w:val="22"/>
                <w:szCs w:val="22"/>
                <w:bdr w:val="nil"/>
                <w:lang w:val="de-DE"/>
              </w:rPr>
              <w:t>die Diskriminierung und Intoleranz ausgesetzt sind</w:t>
            </w:r>
            <w:r>
              <w:rPr>
                <w:rFonts w:ascii="Arial" w:hAnsi="Arial" w:eastAsia="Arial" w:cs="Arial"/>
                <w:sz w:val="22"/>
                <w:szCs w:val="22"/>
                <w:bdr w:val="nil"/>
                <w:lang w:val="de-DE"/>
              </w:rPr>
              <w:t>. Solide quantitative und qualitative Daten</w:t>
            </w:r>
            <w:r w:rsidR="00A27793">
              <w:rPr>
                <w:rFonts w:ascii="Arial" w:hAnsi="Arial" w:eastAsia="Arial" w:cs="Arial"/>
                <w:sz w:val="22"/>
                <w:szCs w:val="22"/>
                <w:bdr w:val="nil"/>
                <w:lang w:val="de-DE"/>
              </w:rPr>
              <w:t xml:space="preserve"> zu</w:t>
            </w:r>
            <w:r>
              <w:rPr>
                <w:rFonts w:ascii="Arial" w:hAnsi="Arial" w:eastAsia="Arial" w:cs="Arial"/>
                <w:sz w:val="22"/>
                <w:szCs w:val="22"/>
                <w:bdr w:val="nil"/>
                <w:lang w:val="de-DE"/>
              </w:rPr>
              <w:t xml:space="preserve"> Gleichheit, Diskriminierung und Intoleranz sind </w:t>
            </w:r>
            <w:r w:rsidR="0026552B">
              <w:rPr>
                <w:rFonts w:ascii="Arial" w:hAnsi="Arial" w:eastAsia="Arial" w:cs="Arial"/>
                <w:sz w:val="22"/>
                <w:szCs w:val="22"/>
                <w:bdr w:val="nil"/>
                <w:lang w:val="de-DE"/>
              </w:rPr>
              <w:t xml:space="preserve">von </w:t>
            </w:r>
            <w:r>
              <w:rPr>
                <w:rFonts w:ascii="Arial" w:hAnsi="Arial" w:eastAsia="Arial" w:cs="Arial"/>
                <w:sz w:val="22"/>
                <w:szCs w:val="22"/>
                <w:bdr w:val="nil"/>
                <w:lang w:val="de-DE"/>
              </w:rPr>
              <w:t>grundlegend</w:t>
            </w:r>
            <w:r w:rsidR="0026552B">
              <w:rPr>
                <w:rFonts w:ascii="Arial" w:hAnsi="Arial" w:eastAsia="Arial" w:cs="Arial"/>
                <w:sz w:val="22"/>
                <w:szCs w:val="22"/>
                <w:bdr w:val="nil"/>
                <w:lang w:val="de-DE"/>
              </w:rPr>
              <w:t>er Bedeutung</w:t>
            </w:r>
            <w:r>
              <w:rPr>
                <w:rFonts w:ascii="Arial" w:hAnsi="Arial" w:eastAsia="Arial" w:cs="Arial"/>
                <w:sz w:val="22"/>
                <w:szCs w:val="22"/>
                <w:bdr w:val="nil"/>
                <w:lang w:val="de-DE"/>
              </w:rPr>
              <w:t>, um die Allgemeinheit, politische Entscheidungsträger und Fachleute über das Wesen und das Ausmaß von Diskriminierung und Intoleranz aufzuklären. Sie tragen außerdem dazu bei, Methoden für das Erreichen von Gleichheit zu identifizieren, und Entscheidungsträger</w:t>
            </w:r>
            <w:r w:rsidR="0026552B">
              <w:rPr>
                <w:rFonts w:ascii="Arial" w:hAnsi="Arial" w:eastAsia="Arial" w:cs="Arial"/>
                <w:sz w:val="22"/>
                <w:szCs w:val="22"/>
                <w:bdr w:val="nil"/>
                <w:lang w:val="de-DE"/>
              </w:rPr>
              <w:t xml:space="preserve"> dazu zu motivieren</w:t>
            </w:r>
            <w:r>
              <w:rPr>
                <w:rFonts w:ascii="Arial" w:hAnsi="Arial" w:eastAsia="Arial" w:cs="Arial"/>
                <w:sz w:val="22"/>
                <w:szCs w:val="22"/>
                <w:bdr w:val="nil"/>
                <w:lang w:val="de-DE"/>
              </w:rPr>
              <w:t xml:space="preserve">, Abhilfemaßnahmen zu ergreifen. Forschung und Daten </w:t>
            </w:r>
            <w:r w:rsidR="0026552B">
              <w:rPr>
                <w:rFonts w:ascii="Arial" w:hAnsi="Arial" w:eastAsia="Arial" w:cs="Arial"/>
                <w:sz w:val="22"/>
                <w:szCs w:val="22"/>
                <w:bdr w:val="nil"/>
                <w:lang w:val="de-DE"/>
              </w:rPr>
              <w:t xml:space="preserve">helfen </w:t>
            </w:r>
            <w:r>
              <w:rPr>
                <w:rFonts w:ascii="Arial" w:hAnsi="Arial" w:eastAsia="Arial" w:cs="Arial"/>
                <w:sz w:val="22"/>
                <w:szCs w:val="22"/>
                <w:bdr w:val="nil"/>
                <w:lang w:val="de-DE"/>
              </w:rPr>
              <w:t xml:space="preserve">außerdem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26552B">
              <w:rPr>
                <w:rFonts w:ascii="Arial" w:hAnsi="Arial" w:eastAsia="Arial" w:cs="Arial"/>
                <w:sz w:val="22"/>
                <w:szCs w:val="22"/>
                <w:bdr w:val="nil"/>
                <w:lang w:val="de-DE"/>
              </w:rPr>
              <w:t xml:space="preserve">bei der </w:t>
            </w:r>
            <w:r>
              <w:rPr>
                <w:rFonts w:ascii="Arial" w:hAnsi="Arial" w:eastAsia="Arial" w:cs="Arial"/>
                <w:sz w:val="22"/>
                <w:szCs w:val="22"/>
                <w:bdr w:val="nil"/>
                <w:lang w:val="de-DE"/>
              </w:rPr>
              <w:t>Planung, Umsetzung, Überwachung und Evaluierung ihrer Tätigkeit</w:t>
            </w:r>
            <w:r w:rsidR="0026552B">
              <w:rPr>
                <w:rFonts w:ascii="Arial" w:hAnsi="Arial" w:eastAsia="Arial" w:cs="Arial"/>
                <w:sz w:val="22"/>
                <w:szCs w:val="22"/>
                <w:bdr w:val="nil"/>
                <w:lang w:val="de-DE"/>
              </w:rPr>
              <w:t>en</w:t>
            </w:r>
            <w:r>
              <w:rPr>
                <w:rFonts w:ascii="Arial" w:hAnsi="Arial" w:eastAsia="Arial" w:cs="Arial"/>
                <w:sz w:val="22"/>
                <w:szCs w:val="22"/>
                <w:bdr w:val="nil"/>
                <w:lang w:val="de-DE"/>
              </w:rPr>
              <w:t>.</w:t>
            </w:r>
          </w:p>
          <w:p w:rsidRPr="006C29B1" w:rsidR="00DD016F" w:rsidP="004B73F0" w:rsidRDefault="0078680C" w14:paraId="74C0E4DF" w14:textId="49E611D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Forschung </w:t>
            </w:r>
            <w:r w:rsidR="0026552B">
              <w:rPr>
                <w:rFonts w:ascii="Arial" w:hAnsi="Arial" w:eastAsia="Arial" w:cs="Arial"/>
                <w:sz w:val="22"/>
                <w:szCs w:val="22"/>
                <w:bdr w:val="nil"/>
                <w:lang w:val="de-DE"/>
              </w:rPr>
              <w:t xml:space="preserve">umfasst ein breites Spektrum von </w:t>
            </w:r>
            <w:r>
              <w:rPr>
                <w:rFonts w:ascii="Arial" w:hAnsi="Arial" w:eastAsia="Arial" w:cs="Arial"/>
                <w:sz w:val="22"/>
                <w:szCs w:val="22"/>
                <w:bdr w:val="nil"/>
                <w:lang w:val="de-DE"/>
              </w:rPr>
              <w:t>Aktivitäten und schließt Umfragen, Studien und Datenerfassungen, die von der Stelle selbst durchgeführt werden, und die Analyse von Umfragen</w:t>
            </w:r>
            <w:r w:rsidR="0026552B">
              <w:rPr>
                <w:rFonts w:ascii="Arial" w:hAnsi="Arial" w:eastAsia="Arial" w:cs="Arial"/>
                <w:sz w:val="22"/>
                <w:szCs w:val="22"/>
                <w:bdr w:val="nil"/>
                <w:lang w:val="de-DE"/>
              </w:rPr>
              <w:t>, Studien und Daten</w:t>
            </w:r>
            <w:r>
              <w:rPr>
                <w:rFonts w:ascii="Arial" w:hAnsi="Arial" w:eastAsia="Arial" w:cs="Arial"/>
                <w:sz w:val="22"/>
                <w:szCs w:val="22"/>
                <w:bdr w:val="nil"/>
                <w:lang w:val="de-DE"/>
              </w:rPr>
              <w:t xml:space="preserve"> zur Gleichheit aus </w:t>
            </w:r>
            <w:r w:rsidR="0026552B">
              <w:rPr>
                <w:rFonts w:ascii="Arial" w:hAnsi="Arial" w:eastAsia="Arial" w:cs="Arial"/>
                <w:sz w:val="22"/>
                <w:szCs w:val="22"/>
                <w:bdr w:val="nil"/>
                <w:lang w:val="de-DE"/>
              </w:rPr>
              <w:t>versch</w:t>
            </w:r>
            <w:r>
              <w:rPr>
                <w:rFonts w:ascii="Arial" w:hAnsi="Arial" w:eastAsia="Arial" w:cs="Arial"/>
                <w:sz w:val="22"/>
                <w:szCs w:val="22"/>
                <w:bdr w:val="nil"/>
                <w:lang w:val="de-DE"/>
              </w:rPr>
              <w:t>ied</w:t>
            </w:r>
            <w:r w:rsidR="0026552B">
              <w:rPr>
                <w:rFonts w:ascii="Arial" w:hAnsi="Arial" w:eastAsia="Arial" w:cs="Arial"/>
                <w:sz w:val="22"/>
                <w:szCs w:val="22"/>
                <w:bdr w:val="nil"/>
                <w:lang w:val="de-DE"/>
              </w:rPr>
              <w:t>en</w:t>
            </w:r>
            <w:r>
              <w:rPr>
                <w:rFonts w:ascii="Arial" w:hAnsi="Arial" w:eastAsia="Arial" w:cs="Arial"/>
                <w:sz w:val="22"/>
                <w:szCs w:val="22"/>
                <w:bdr w:val="nil"/>
                <w:lang w:val="de-DE"/>
              </w:rPr>
              <w:t xml:space="preserve">en Quellen ein. Das Erfassen und Systematisieren der Rechtsprechung zu Gleichheit, Diskriminierung und Intoleranz </w:t>
            </w:r>
            <w:r w:rsidR="0026552B">
              <w:rPr>
                <w:rFonts w:ascii="Arial" w:hAnsi="Arial" w:eastAsia="Arial" w:cs="Arial"/>
                <w:sz w:val="22"/>
                <w:szCs w:val="22"/>
                <w:bdr w:val="nil"/>
                <w:lang w:val="de-DE"/>
              </w:rPr>
              <w:t xml:space="preserve">schafft </w:t>
            </w:r>
            <w:r>
              <w:rPr>
                <w:rFonts w:ascii="Arial" w:hAnsi="Arial" w:eastAsia="Arial" w:cs="Arial"/>
                <w:sz w:val="22"/>
                <w:szCs w:val="22"/>
                <w:bdr w:val="nil"/>
                <w:lang w:val="de-DE"/>
              </w:rPr>
              <w:t>ebenfalls eine</w:t>
            </w:r>
            <w:r w:rsidR="0026552B">
              <w:rPr>
                <w:rFonts w:ascii="Arial" w:hAnsi="Arial" w:eastAsia="Arial" w:cs="Arial"/>
                <w:sz w:val="22"/>
                <w:szCs w:val="22"/>
                <w:bdr w:val="nil"/>
                <w:lang w:val="de-DE"/>
              </w:rPr>
              <w:t>n</w:t>
            </w:r>
            <w:r>
              <w:rPr>
                <w:rFonts w:ascii="Arial" w:hAnsi="Arial" w:eastAsia="Arial" w:cs="Arial"/>
                <w:sz w:val="22"/>
                <w:szCs w:val="22"/>
                <w:bdr w:val="nil"/>
                <w:lang w:val="de-DE"/>
              </w:rPr>
              <w:t xml:space="preserve"> Mehrwert.</w:t>
            </w:r>
          </w:p>
        </w:tc>
      </w:tr>
      <w:tr w:rsidRPr="00046FAE" w:rsidR="00D8651C" w:rsidTr="00C0685F" w14:paraId="7E425822" w14:textId="77777777">
        <w:trPr>
          <w:gridAfter w:val="1"/>
          <w:wAfter w:w="649" w:type="dxa"/>
        </w:trPr>
        <w:tc>
          <w:tcPr>
            <w:tcW w:w="0" w:type="auto"/>
          </w:tcPr>
          <w:p w:rsidRPr="006C29B1" w:rsidR="00DD016F" w:rsidP="004B73F0" w:rsidRDefault="0078680C" w14:paraId="0C6A6BE0" w14:textId="782D13C5">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Durch ihre Aufklärungsarbeit sollten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das Verständnis </w:t>
            </w:r>
            <w:r w:rsidR="00455F13">
              <w:rPr>
                <w:rFonts w:ascii="Arial" w:hAnsi="Arial" w:eastAsia="Arial" w:cs="Arial"/>
                <w:sz w:val="22"/>
                <w:szCs w:val="22"/>
                <w:bdr w:val="nil"/>
                <w:lang w:val="de-DE"/>
              </w:rPr>
              <w:t xml:space="preserve">dafür </w:t>
            </w:r>
            <w:r>
              <w:rPr>
                <w:rFonts w:ascii="Arial" w:hAnsi="Arial" w:eastAsia="Arial" w:cs="Arial"/>
                <w:sz w:val="22"/>
                <w:szCs w:val="22"/>
                <w:bdr w:val="nil"/>
                <w:lang w:val="de-DE"/>
              </w:rPr>
              <w:t xml:space="preserve">fördern, wie offene und versteckte Diskriminierung funktioniert und Wissen </w:t>
            </w:r>
            <w:r w:rsidR="00455F13">
              <w:rPr>
                <w:rFonts w:ascii="Arial" w:hAnsi="Arial" w:eastAsia="Arial" w:cs="Arial"/>
                <w:sz w:val="22"/>
                <w:szCs w:val="22"/>
                <w:bdr w:val="nil"/>
                <w:lang w:val="de-DE"/>
              </w:rPr>
              <w:t xml:space="preserve">darüber </w:t>
            </w:r>
            <w:r>
              <w:rPr>
                <w:rFonts w:ascii="Arial" w:hAnsi="Arial" w:eastAsia="Arial" w:cs="Arial"/>
                <w:sz w:val="22"/>
                <w:szCs w:val="22"/>
                <w:bdr w:val="nil"/>
                <w:lang w:val="de-DE"/>
              </w:rPr>
              <w:t xml:space="preserve">vermitteln, was für </w:t>
            </w:r>
            <w:r w:rsidR="00455F13">
              <w:rPr>
                <w:rFonts w:ascii="Arial" w:hAnsi="Arial" w:eastAsia="Arial" w:cs="Arial"/>
                <w:sz w:val="22"/>
                <w:szCs w:val="22"/>
                <w:bdr w:val="nil"/>
                <w:lang w:val="de-DE"/>
              </w:rPr>
              <w:t>mehr</w:t>
            </w:r>
            <w:r>
              <w:rPr>
                <w:rFonts w:ascii="Arial" w:hAnsi="Arial" w:eastAsia="Arial" w:cs="Arial"/>
                <w:sz w:val="22"/>
                <w:szCs w:val="22"/>
                <w:bdr w:val="nil"/>
                <w:lang w:val="de-DE"/>
              </w:rPr>
              <w:t xml:space="preserve"> Gleichheit erforderlich ist.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über Rechte, Rechtsmittel und </w:t>
            </w:r>
            <w:r w:rsidR="00455F13">
              <w:rPr>
                <w:rFonts w:ascii="Arial" w:hAnsi="Arial" w:eastAsia="Arial" w:cs="Arial"/>
                <w:sz w:val="22"/>
                <w:szCs w:val="22"/>
                <w:bdr w:val="nil"/>
                <w:lang w:val="de-DE"/>
              </w:rPr>
              <w:t>Verantwortlichkeiten unter der Gleichbehandlungsgesetzgebung</w:t>
            </w:r>
            <w:r>
              <w:rPr>
                <w:rFonts w:ascii="Arial" w:hAnsi="Arial" w:eastAsia="Arial" w:cs="Arial"/>
                <w:sz w:val="22"/>
                <w:szCs w:val="22"/>
                <w:bdr w:val="nil"/>
                <w:lang w:val="de-DE"/>
              </w:rPr>
              <w:t xml:space="preserve"> informieren und die Wertschätzung von Gleichheit und Vielfalt in der Gesellschaft und innerhalb von Institutionen </w:t>
            </w:r>
            <w:r w:rsidR="00455F13">
              <w:rPr>
                <w:rFonts w:ascii="Arial" w:hAnsi="Arial" w:eastAsia="Arial" w:cs="Arial"/>
                <w:sz w:val="22"/>
                <w:szCs w:val="22"/>
                <w:bdr w:val="nil"/>
                <w:lang w:val="de-DE"/>
              </w:rPr>
              <w:t>fördern</w:t>
            </w:r>
            <w:r>
              <w:rPr>
                <w:rFonts w:ascii="Arial" w:hAnsi="Arial" w:eastAsia="Arial" w:cs="Arial"/>
                <w:sz w:val="22"/>
                <w:szCs w:val="22"/>
                <w:bdr w:val="nil"/>
                <w:lang w:val="de-DE"/>
              </w:rPr>
              <w:t>.</w:t>
            </w:r>
          </w:p>
          <w:p w:rsidRPr="006C29B1" w:rsidR="00DD016F" w:rsidP="004B73F0" w:rsidRDefault="0078680C" w14:paraId="69B92160" w14:textId="7B023FB3">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bookmarkStart w:name="_Ref474136711" w:id="49"/>
            <w:r>
              <w:rPr>
                <w:rFonts w:ascii="Arial" w:hAnsi="Arial" w:eastAsia="Arial" w:cs="Arial"/>
                <w:sz w:val="22"/>
                <w:szCs w:val="22"/>
                <w:bdr w:val="nil"/>
                <w:lang w:val="de-DE"/>
              </w:rPr>
              <w:t xml:space="preserve">Diese Maßnahmen sollten </w:t>
            </w:r>
            <w:r w:rsidR="00A27793">
              <w:rPr>
                <w:rFonts w:ascii="Arial" w:hAnsi="Arial" w:eastAsia="Arial" w:cs="Arial"/>
                <w:sz w:val="22"/>
                <w:szCs w:val="22"/>
                <w:bdr w:val="nil"/>
                <w:lang w:val="de-DE"/>
              </w:rPr>
              <w:t xml:space="preserve">sich </w:t>
            </w:r>
            <w:r>
              <w:rPr>
                <w:rFonts w:ascii="Arial" w:hAnsi="Arial" w:eastAsia="Arial" w:cs="Arial"/>
                <w:sz w:val="22"/>
                <w:szCs w:val="22"/>
                <w:bdr w:val="nil"/>
                <w:lang w:val="de-DE"/>
              </w:rPr>
              <w:t>an eine</w:t>
            </w:r>
            <w:r w:rsidR="00455F13">
              <w:rPr>
                <w:rFonts w:ascii="Arial" w:hAnsi="Arial" w:eastAsia="Arial" w:cs="Arial"/>
                <w:sz w:val="22"/>
                <w:szCs w:val="22"/>
                <w:bdr w:val="nil"/>
                <w:lang w:val="de-DE"/>
              </w:rPr>
              <w:t xml:space="preserve"> Reihe verschiedener</w:t>
            </w:r>
            <w:r>
              <w:rPr>
                <w:rFonts w:ascii="Arial" w:hAnsi="Arial" w:eastAsia="Arial" w:cs="Arial"/>
                <w:sz w:val="22"/>
                <w:szCs w:val="22"/>
                <w:bdr w:val="nil"/>
                <w:lang w:val="de-DE"/>
              </w:rPr>
              <w:t xml:space="preserve"> Zielgruppen </w:t>
            </w:r>
            <w:r w:rsidR="00455F13">
              <w:rPr>
                <w:rFonts w:ascii="Arial" w:hAnsi="Arial" w:eastAsia="Arial" w:cs="Arial"/>
                <w:sz w:val="22"/>
                <w:szCs w:val="22"/>
                <w:bdr w:val="nil"/>
                <w:lang w:val="de-DE"/>
              </w:rPr>
              <w:t>richten</w:t>
            </w:r>
            <w:r>
              <w:rPr>
                <w:rFonts w:ascii="Arial" w:hAnsi="Arial" w:eastAsia="Arial" w:cs="Arial"/>
                <w:sz w:val="22"/>
                <w:szCs w:val="22"/>
                <w:bdr w:val="nil"/>
                <w:lang w:val="de-DE"/>
              </w:rPr>
              <w:t xml:space="preserve">, u.a. die </w:t>
            </w:r>
            <w:r w:rsidR="00455F13">
              <w:rPr>
                <w:rFonts w:ascii="Arial" w:hAnsi="Arial" w:eastAsia="Arial" w:cs="Arial"/>
                <w:sz w:val="22"/>
                <w:szCs w:val="22"/>
                <w:bdr w:val="nil"/>
                <w:lang w:val="de-DE"/>
              </w:rPr>
              <w:t xml:space="preserve">allgemeine </w:t>
            </w:r>
            <w:r>
              <w:rPr>
                <w:rFonts w:ascii="Arial" w:hAnsi="Arial" w:eastAsia="Arial" w:cs="Arial"/>
                <w:sz w:val="22"/>
                <w:szCs w:val="22"/>
                <w:bdr w:val="nil"/>
                <w:lang w:val="de-DE"/>
              </w:rPr>
              <w:t xml:space="preserve">Öffentlichkeit, Politiker, leitende </w:t>
            </w:r>
            <w:r w:rsidR="00455F13">
              <w:rPr>
                <w:rFonts w:ascii="Arial" w:hAnsi="Arial" w:eastAsia="Arial" w:cs="Arial"/>
                <w:sz w:val="22"/>
                <w:szCs w:val="22"/>
                <w:bdr w:val="nil"/>
                <w:lang w:val="de-DE"/>
              </w:rPr>
              <w:t>Beamte</w:t>
            </w:r>
            <w:r>
              <w:rPr>
                <w:rFonts w:ascii="Arial" w:hAnsi="Arial" w:eastAsia="Arial" w:cs="Arial"/>
                <w:sz w:val="22"/>
                <w:szCs w:val="22"/>
                <w:bdr w:val="nil"/>
                <w:lang w:val="de-DE"/>
              </w:rPr>
              <w:t xml:space="preserve"> und andere Entscheidungsträger, Arbeitgeber, Gewerkschaften, Personalmanager, Dienstleister, Mitarbeiter im öffentlichen und privaten Bereich, Pädagogen, religiöse Gemeinschaften, zivilgesellschaftliche Organisationen, die Justiz und </w:t>
            </w:r>
            <w:r w:rsidR="00455F13">
              <w:rPr>
                <w:rFonts w:ascii="Arial" w:hAnsi="Arial" w:eastAsia="Arial" w:cs="Arial"/>
                <w:sz w:val="22"/>
                <w:szCs w:val="22"/>
                <w:bdr w:val="nil"/>
                <w:lang w:val="de-DE"/>
              </w:rPr>
              <w:t>Juristen</w:t>
            </w:r>
            <w:r>
              <w:rPr>
                <w:rFonts w:ascii="Arial" w:hAnsi="Arial" w:eastAsia="Arial" w:cs="Arial"/>
                <w:sz w:val="22"/>
                <w:szCs w:val="22"/>
                <w:bdr w:val="nil"/>
                <w:lang w:val="de-DE"/>
              </w:rPr>
              <w:t>, die Polizei und Medienvertreter.</w:t>
            </w:r>
            <w:bookmarkEnd w:id="49"/>
          </w:p>
        </w:tc>
      </w:tr>
      <w:tr w:rsidRPr="00046FAE" w:rsidR="00D8651C" w:rsidTr="00C0685F" w14:paraId="62A4E82A" w14:textId="77777777">
        <w:trPr>
          <w:gridAfter w:val="1"/>
          <w:wAfter w:w="649" w:type="dxa"/>
        </w:trPr>
        <w:tc>
          <w:tcPr>
            <w:tcW w:w="0" w:type="auto"/>
          </w:tcPr>
          <w:p w:rsidRPr="00C0685F" w:rsidR="00DD016F" w:rsidP="00055F85" w:rsidRDefault="00781974" w14:paraId="523BFEA5" w14:textId="70EEF7F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gezielte Aufklärungsmaßnahmen für Menschen und Gruppen entwickeln, die Diskriminierung und Intoleranz ausgesetzt sind. </w:t>
            </w:r>
            <w:r w:rsidR="00455F13">
              <w:rPr>
                <w:rFonts w:ascii="Arial" w:hAnsi="Arial" w:eastAsia="Arial" w:cs="Arial"/>
                <w:sz w:val="22"/>
                <w:szCs w:val="22"/>
                <w:bdr w:val="nil"/>
                <w:lang w:val="de-DE"/>
              </w:rPr>
              <w:t>Die</w:t>
            </w:r>
            <w:r w:rsidR="00A27793">
              <w:rPr>
                <w:rFonts w:ascii="Arial" w:hAnsi="Arial" w:eastAsia="Arial" w:cs="Arial"/>
                <w:sz w:val="22"/>
                <w:szCs w:val="22"/>
                <w:bdr w:val="nil"/>
                <w:lang w:val="de-DE"/>
              </w:rPr>
              <w:t xml:space="preserve"> Befähigung und Unterstützung dieser</w:t>
            </w:r>
            <w:r w:rsidR="0078680C">
              <w:rPr>
                <w:rFonts w:ascii="Arial" w:hAnsi="Arial" w:eastAsia="Arial" w:cs="Arial"/>
                <w:sz w:val="22"/>
                <w:szCs w:val="22"/>
                <w:bdr w:val="nil"/>
                <w:lang w:val="de-DE"/>
              </w:rPr>
              <w:t xml:space="preserve"> Menschen und Gruppen</w:t>
            </w:r>
            <w:r w:rsidRPr="00C0685F" w:rsidR="0078680C">
              <w:rPr>
                <w:rFonts w:ascii="Arial" w:hAnsi="Arial" w:eastAsia="Arial" w:cs="Arial"/>
                <w:sz w:val="22"/>
                <w:szCs w:val="22"/>
                <w:bdr w:val="nil"/>
                <w:lang w:val="de-DE"/>
              </w:rPr>
              <w:t xml:space="preserve">, </w:t>
            </w:r>
            <w:r w:rsidR="00455F13">
              <w:rPr>
                <w:rFonts w:ascii="Arial" w:hAnsi="Arial" w:eastAsia="Arial" w:cs="Arial"/>
                <w:sz w:val="22"/>
                <w:szCs w:val="22"/>
                <w:bdr w:val="nil"/>
                <w:lang w:val="de-DE"/>
              </w:rPr>
              <w:t>die</w:t>
            </w:r>
            <w:r w:rsidRPr="00C0685F" w:rsidR="0078680C">
              <w:rPr>
                <w:rFonts w:ascii="Arial" w:hAnsi="Arial" w:eastAsia="Arial" w:cs="Arial"/>
                <w:sz w:val="22"/>
                <w:szCs w:val="22"/>
                <w:bdr w:val="nil"/>
                <w:lang w:val="de-DE"/>
              </w:rPr>
              <w:t xml:space="preserve"> notwendige Maßnahmen zur Bekämpfung von Diskriminierung und Intoleranz zu ergreifen, ist ein wichtiger Beitrag zur Verbesserung </w:t>
            </w:r>
            <w:r w:rsidR="00455F13">
              <w:rPr>
                <w:rFonts w:ascii="Arial" w:hAnsi="Arial" w:eastAsia="Arial" w:cs="Arial"/>
                <w:sz w:val="22"/>
                <w:szCs w:val="22"/>
                <w:bdr w:val="nil"/>
                <w:lang w:val="de-DE"/>
              </w:rPr>
              <w:t>ihr</w:t>
            </w:r>
            <w:r w:rsidRPr="00C0685F" w:rsidR="0078680C">
              <w:rPr>
                <w:rFonts w:ascii="Arial" w:hAnsi="Arial" w:eastAsia="Arial" w:cs="Arial"/>
                <w:sz w:val="22"/>
                <w:szCs w:val="22"/>
                <w:bdr w:val="nil"/>
                <w:lang w:val="de-DE"/>
              </w:rPr>
              <w:t xml:space="preserve">er Situation. Ein erster Schritt </w:t>
            </w:r>
            <w:r w:rsidR="00455F13">
              <w:rPr>
                <w:rFonts w:ascii="Arial" w:hAnsi="Arial" w:eastAsia="Arial" w:cs="Arial"/>
                <w:sz w:val="22"/>
                <w:szCs w:val="22"/>
                <w:bdr w:val="nil"/>
                <w:lang w:val="de-DE"/>
              </w:rPr>
              <w:t>besteht darin,</w:t>
            </w:r>
            <w:r w:rsidRPr="00C0685F" w:rsidR="0078680C">
              <w:rPr>
                <w:rFonts w:ascii="Arial" w:hAnsi="Arial" w:eastAsia="Arial" w:cs="Arial"/>
                <w:sz w:val="22"/>
                <w:szCs w:val="22"/>
                <w:bdr w:val="nil"/>
                <w:lang w:val="de-DE"/>
              </w:rPr>
              <w:t xml:space="preserve"> Wissen über Gleichbehandlung</w:t>
            </w:r>
            <w:r w:rsidR="0049113F">
              <w:rPr>
                <w:rFonts w:ascii="Arial" w:hAnsi="Arial" w:eastAsia="Arial" w:cs="Arial"/>
                <w:sz w:val="22"/>
                <w:szCs w:val="22"/>
                <w:bdr w:val="nil"/>
                <w:lang w:val="de-DE"/>
              </w:rPr>
              <w:t>gesetze</w:t>
            </w:r>
            <w:r w:rsidRPr="00C0685F" w:rsidR="0078680C">
              <w:rPr>
                <w:rFonts w:ascii="Arial" w:hAnsi="Arial" w:eastAsia="Arial" w:cs="Arial"/>
                <w:sz w:val="22"/>
                <w:szCs w:val="22"/>
                <w:bdr w:val="nil"/>
                <w:lang w:val="de-DE"/>
              </w:rPr>
              <w:t xml:space="preserve"> und Gesetze gegen Hassrede und Hassverbrechen </w:t>
            </w:r>
            <w:r w:rsidR="00455F13">
              <w:rPr>
                <w:rFonts w:ascii="Arial" w:hAnsi="Arial" w:eastAsia="Arial" w:cs="Arial"/>
                <w:sz w:val="22"/>
                <w:szCs w:val="22"/>
                <w:bdr w:val="nil"/>
                <w:lang w:val="de-DE"/>
              </w:rPr>
              <w:t xml:space="preserve">zu verbreiten </w:t>
            </w:r>
            <w:r w:rsidRPr="00C0685F" w:rsidR="0078680C">
              <w:rPr>
                <w:rFonts w:ascii="Arial" w:hAnsi="Arial" w:eastAsia="Arial" w:cs="Arial"/>
                <w:sz w:val="22"/>
                <w:szCs w:val="22"/>
                <w:bdr w:val="nil"/>
                <w:lang w:val="de-DE"/>
              </w:rPr>
              <w:t xml:space="preserve">und die Vorstellung zu zerstören, Diskriminierung und Intoleranz seien normal und man könne nichts gegen sie tun. </w:t>
            </w:r>
            <w:r w:rsidRPr="00C0685F">
              <w:rPr>
                <w:rFonts w:ascii="Arial" w:hAnsi="Arial" w:eastAsia="Arial" w:cs="Arial"/>
                <w:sz w:val="22"/>
                <w:szCs w:val="22"/>
                <w:bdr w:val="nil"/>
                <w:lang w:val="de-DE"/>
              </w:rPr>
              <w:t>Gleichheitsstelle</w:t>
            </w:r>
            <w:r w:rsidRPr="00C0685F" w:rsidR="0078680C">
              <w:rPr>
                <w:rFonts w:ascii="Arial" w:hAnsi="Arial" w:eastAsia="Arial" w:cs="Arial"/>
                <w:sz w:val="22"/>
                <w:szCs w:val="22"/>
                <w:bdr w:val="nil"/>
                <w:lang w:val="de-DE"/>
              </w:rPr>
              <w:t xml:space="preserve">n sollten des Weiteren die individuellen und kollektiven </w:t>
            </w:r>
            <w:r w:rsidR="00455F13">
              <w:rPr>
                <w:rFonts w:ascii="Arial" w:hAnsi="Arial" w:eastAsia="Arial" w:cs="Arial"/>
                <w:sz w:val="22"/>
                <w:szCs w:val="22"/>
                <w:bdr w:val="nil"/>
                <w:lang w:val="de-DE"/>
              </w:rPr>
              <w:t>Fähigkeiten</w:t>
            </w:r>
            <w:r w:rsidRPr="00C0685F" w:rsidR="00455F13">
              <w:rPr>
                <w:rFonts w:ascii="Arial" w:hAnsi="Arial" w:eastAsia="Arial" w:cs="Arial"/>
                <w:sz w:val="22"/>
                <w:szCs w:val="22"/>
                <w:bdr w:val="nil"/>
                <w:lang w:val="de-DE"/>
              </w:rPr>
              <w:t xml:space="preserve"> </w:t>
            </w:r>
            <w:r w:rsidRPr="00C0685F" w:rsidR="0078680C">
              <w:rPr>
                <w:rFonts w:ascii="Arial" w:hAnsi="Arial" w:eastAsia="Arial" w:cs="Arial"/>
                <w:sz w:val="22"/>
                <w:szCs w:val="22"/>
                <w:bdr w:val="nil"/>
                <w:lang w:val="de-DE"/>
              </w:rPr>
              <w:t xml:space="preserve">der Mitglieder jener Gruppen stärken, die Diskriminierung und Intoleranz ausgesetzt sind, indem sie diese über ihre Rechte, die verfügbaren Rechtsmittel und deren Inanspruchnahme </w:t>
            </w:r>
            <w:r w:rsidR="00455F13">
              <w:rPr>
                <w:rFonts w:ascii="Arial" w:hAnsi="Arial" w:eastAsia="Arial" w:cs="Arial"/>
                <w:sz w:val="22"/>
                <w:szCs w:val="22"/>
                <w:bdr w:val="nil"/>
                <w:lang w:val="de-DE"/>
              </w:rPr>
              <w:lastRenderedPageBreak/>
              <w:t>schulen</w:t>
            </w:r>
            <w:r w:rsidRPr="00C0685F" w:rsidR="0078680C">
              <w:rPr>
                <w:rFonts w:ascii="Arial" w:hAnsi="Arial" w:eastAsia="Arial" w:cs="Arial"/>
                <w:sz w:val="22"/>
                <w:szCs w:val="22"/>
                <w:bdr w:val="nil"/>
                <w:lang w:val="de-DE"/>
              </w:rPr>
              <w:t>. Darüber hinaus sollten sie ih</w:t>
            </w:r>
            <w:r w:rsidR="00455F13">
              <w:rPr>
                <w:rFonts w:ascii="Arial" w:hAnsi="Arial" w:eastAsia="Arial" w:cs="Arial"/>
                <w:sz w:val="22"/>
                <w:szCs w:val="22"/>
                <w:bdr w:val="nil"/>
                <w:lang w:val="de-DE"/>
              </w:rPr>
              <w:t>n</w:t>
            </w:r>
            <w:r w:rsidRPr="00C0685F" w:rsidR="0078680C">
              <w:rPr>
                <w:rFonts w:ascii="Arial" w:hAnsi="Arial" w:eastAsia="Arial" w:cs="Arial"/>
                <w:sz w:val="22"/>
                <w:szCs w:val="22"/>
                <w:bdr w:val="nil"/>
                <w:lang w:val="de-DE"/>
              </w:rPr>
              <w:t xml:space="preserve">en </w:t>
            </w:r>
            <w:r w:rsidR="00455F13">
              <w:rPr>
                <w:rFonts w:ascii="Arial" w:hAnsi="Arial" w:eastAsia="Arial" w:cs="Arial"/>
                <w:sz w:val="22"/>
                <w:szCs w:val="22"/>
                <w:bdr w:val="nil"/>
                <w:lang w:val="de-DE"/>
              </w:rPr>
              <w:t xml:space="preserve">den </w:t>
            </w:r>
            <w:r w:rsidRPr="00C0685F" w:rsidR="0078680C">
              <w:rPr>
                <w:rFonts w:ascii="Arial" w:hAnsi="Arial" w:eastAsia="Arial" w:cs="Arial"/>
                <w:sz w:val="22"/>
                <w:szCs w:val="22"/>
                <w:bdr w:val="nil"/>
                <w:lang w:val="de-DE"/>
              </w:rPr>
              <w:t xml:space="preserve">Zugang zu </w:t>
            </w:r>
            <w:r w:rsidR="00455F13">
              <w:rPr>
                <w:rFonts w:ascii="Arial" w:hAnsi="Arial" w:eastAsia="Arial" w:cs="Arial"/>
                <w:sz w:val="22"/>
                <w:szCs w:val="22"/>
                <w:bdr w:val="nil"/>
                <w:lang w:val="de-DE"/>
              </w:rPr>
              <w:t xml:space="preserve">anderen </w:t>
            </w:r>
            <w:r w:rsidR="00A27793">
              <w:rPr>
                <w:rFonts w:ascii="Arial" w:hAnsi="Arial" w:eastAsia="Arial" w:cs="Arial"/>
                <w:sz w:val="22"/>
                <w:szCs w:val="22"/>
                <w:bdr w:val="nil"/>
                <w:lang w:val="de-DE"/>
              </w:rPr>
              <w:t>Institutionen</w:t>
            </w:r>
            <w:r w:rsidRPr="00C0685F" w:rsidR="00A27793">
              <w:rPr>
                <w:rFonts w:ascii="Arial" w:hAnsi="Arial" w:eastAsia="Arial" w:cs="Arial"/>
                <w:sz w:val="22"/>
                <w:szCs w:val="22"/>
                <w:bdr w:val="nil"/>
                <w:lang w:val="de-DE"/>
              </w:rPr>
              <w:t xml:space="preserve"> </w:t>
            </w:r>
            <w:r w:rsidRPr="00C0685F" w:rsidR="0078680C">
              <w:rPr>
                <w:rFonts w:ascii="Arial" w:hAnsi="Arial" w:eastAsia="Arial" w:cs="Arial"/>
                <w:sz w:val="22"/>
                <w:szCs w:val="22"/>
                <w:bdr w:val="nil"/>
                <w:lang w:val="de-DE"/>
              </w:rPr>
              <w:t xml:space="preserve">erleichtern, die mit ihrem Schutz beauftragt sind, </w:t>
            </w:r>
            <w:r w:rsidR="00455F13">
              <w:rPr>
                <w:rFonts w:ascii="Arial" w:hAnsi="Arial" w:eastAsia="Arial" w:cs="Arial"/>
                <w:sz w:val="22"/>
                <w:szCs w:val="22"/>
                <w:bdr w:val="nil"/>
                <w:lang w:val="de-DE"/>
              </w:rPr>
              <w:t>wie zum Beispiel die</w:t>
            </w:r>
            <w:r w:rsidRPr="00C0685F" w:rsidR="0078680C">
              <w:rPr>
                <w:rFonts w:ascii="Arial" w:hAnsi="Arial" w:eastAsia="Arial" w:cs="Arial"/>
                <w:sz w:val="22"/>
                <w:szCs w:val="22"/>
                <w:bdr w:val="nil"/>
                <w:lang w:val="de-DE"/>
              </w:rPr>
              <w:t xml:space="preserve"> Polizei, St</w:t>
            </w:r>
            <w:r w:rsidR="00455F13">
              <w:rPr>
                <w:rFonts w:ascii="Arial" w:hAnsi="Arial" w:eastAsia="Arial" w:cs="Arial"/>
                <w:sz w:val="22"/>
                <w:szCs w:val="22"/>
                <w:bdr w:val="nil"/>
                <w:lang w:val="de-DE"/>
              </w:rPr>
              <w:t>aatsanwaltschaften</w:t>
            </w:r>
            <w:r w:rsidRPr="00C0685F" w:rsidR="0078680C">
              <w:rPr>
                <w:rFonts w:ascii="Arial" w:hAnsi="Arial" w:eastAsia="Arial" w:cs="Arial"/>
                <w:sz w:val="22"/>
                <w:szCs w:val="22"/>
                <w:bdr w:val="nil"/>
                <w:lang w:val="de-DE"/>
              </w:rPr>
              <w:t xml:space="preserve">, Aufsichtsbehörden im Bereich der Medien sowie Schul- und Arbeitsinspektoren. Zusammen mit diesen Institutionen sollten die </w:t>
            </w:r>
            <w:r w:rsidRPr="00C0685F">
              <w:rPr>
                <w:rFonts w:ascii="Arial" w:hAnsi="Arial" w:eastAsia="Arial" w:cs="Arial"/>
                <w:sz w:val="22"/>
                <w:szCs w:val="22"/>
                <w:bdr w:val="nil"/>
                <w:lang w:val="de-DE"/>
              </w:rPr>
              <w:t>Gleichheitsstelle</w:t>
            </w:r>
            <w:r w:rsidRPr="00C0685F" w:rsidR="0078680C">
              <w:rPr>
                <w:rFonts w:ascii="Arial" w:hAnsi="Arial" w:eastAsia="Arial" w:cs="Arial"/>
                <w:sz w:val="22"/>
                <w:szCs w:val="22"/>
                <w:bdr w:val="nil"/>
                <w:lang w:val="de-DE"/>
              </w:rPr>
              <w:t xml:space="preserve">n die </w:t>
            </w:r>
            <w:r w:rsidR="00455F13">
              <w:rPr>
                <w:rFonts w:ascii="Arial" w:hAnsi="Arial" w:eastAsia="Arial" w:cs="Arial"/>
                <w:sz w:val="22"/>
                <w:szCs w:val="22"/>
                <w:bdr w:val="nil"/>
                <w:lang w:val="de-DE"/>
              </w:rPr>
              <w:t xml:space="preserve">tieferen </w:t>
            </w:r>
            <w:r w:rsidRPr="00C0685F" w:rsidR="0078680C">
              <w:rPr>
                <w:rFonts w:ascii="Arial" w:hAnsi="Arial" w:eastAsia="Arial" w:cs="Arial"/>
                <w:sz w:val="22"/>
                <w:szCs w:val="22"/>
                <w:bdr w:val="nil"/>
                <w:lang w:val="de-DE"/>
              </w:rPr>
              <w:t xml:space="preserve">Ursachen </w:t>
            </w:r>
            <w:r w:rsidR="00A27793">
              <w:rPr>
                <w:rFonts w:ascii="Arial" w:hAnsi="Arial" w:eastAsia="Arial" w:cs="Arial"/>
                <w:sz w:val="22"/>
                <w:szCs w:val="22"/>
                <w:bdr w:val="nil"/>
                <w:lang w:val="de-DE"/>
              </w:rPr>
              <w:t xml:space="preserve">dafür analysieren, dass Fälle von Diskriminierung und Intoleranz zu selten gemeldet und zur Anzeige gebracht werden, </w:t>
            </w:r>
            <w:r w:rsidRPr="00C0685F" w:rsidR="0078680C">
              <w:rPr>
                <w:rFonts w:ascii="Arial" w:hAnsi="Arial" w:eastAsia="Arial" w:cs="Arial"/>
                <w:sz w:val="22"/>
                <w:szCs w:val="22"/>
                <w:bdr w:val="nil"/>
                <w:lang w:val="de-DE"/>
              </w:rPr>
              <w:t>und die erforderlichen Schritte ergreifen um sicherzustellen, dass Fälle von Diskriminierung und Intoleranz systematisch den zuständigen Stellen gemeldet werden.</w:t>
            </w:r>
          </w:p>
        </w:tc>
      </w:tr>
      <w:tr w:rsidRPr="00046FAE" w:rsidR="00D8651C" w:rsidTr="00C0685F" w14:paraId="17139DEA" w14:textId="77777777">
        <w:trPr>
          <w:gridAfter w:val="1"/>
          <w:wAfter w:w="649" w:type="dxa"/>
        </w:trPr>
        <w:tc>
          <w:tcPr>
            <w:tcW w:w="0" w:type="auto"/>
          </w:tcPr>
          <w:p w:rsidRPr="006C29B1" w:rsidR="00DD016F" w:rsidP="004B73F0" w:rsidRDefault="00781974" w14:paraId="6B6B867F" w14:textId="58C83600">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sollten die Entwicklung, den Austausch und die </w:t>
            </w:r>
            <w:r w:rsidR="00455F13">
              <w:rPr>
                <w:rFonts w:ascii="Arial" w:hAnsi="Arial" w:eastAsia="Arial" w:cs="Arial"/>
                <w:sz w:val="22"/>
                <w:szCs w:val="22"/>
                <w:bdr w:val="nil"/>
                <w:lang w:val="de-DE"/>
              </w:rPr>
              <w:t xml:space="preserve">Implementierung </w:t>
            </w:r>
            <w:r w:rsidR="0078680C">
              <w:rPr>
                <w:rFonts w:ascii="Arial" w:hAnsi="Arial" w:eastAsia="Arial" w:cs="Arial"/>
                <w:sz w:val="22"/>
                <w:szCs w:val="22"/>
                <w:bdr w:val="nil"/>
                <w:lang w:val="de-DE"/>
              </w:rPr>
              <w:t>guter Pra</w:t>
            </w:r>
            <w:r w:rsidR="00455F13">
              <w:rPr>
                <w:rFonts w:ascii="Arial" w:hAnsi="Arial" w:eastAsia="Arial" w:cs="Arial"/>
                <w:sz w:val="22"/>
                <w:szCs w:val="22"/>
                <w:bdr w:val="nil"/>
                <w:lang w:val="de-DE"/>
              </w:rPr>
              <w:t>ktiken</w:t>
            </w:r>
            <w:r w:rsidR="0078680C">
              <w:rPr>
                <w:rFonts w:ascii="Arial" w:hAnsi="Arial" w:eastAsia="Arial" w:cs="Arial"/>
                <w:sz w:val="22"/>
                <w:szCs w:val="22"/>
                <w:bdr w:val="nil"/>
                <w:lang w:val="de-DE"/>
              </w:rPr>
              <w:t xml:space="preserve"> im Bereich Gleich</w:t>
            </w:r>
            <w:r w:rsidR="00455F13">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Diskriminierung und Intoleranz fördern. </w:t>
            </w:r>
            <w:r w:rsidR="00455F13">
              <w:rPr>
                <w:rFonts w:ascii="Arial" w:hAnsi="Arial" w:eastAsia="Arial" w:cs="Arial"/>
                <w:sz w:val="22"/>
                <w:szCs w:val="22"/>
                <w:bdr w:val="nil"/>
                <w:lang w:val="de-DE"/>
              </w:rPr>
              <w:t>Besonderes Augenmerk</w:t>
            </w:r>
            <w:r w:rsidR="0078680C">
              <w:rPr>
                <w:rFonts w:ascii="Arial" w:hAnsi="Arial" w:eastAsia="Arial" w:cs="Arial"/>
                <w:sz w:val="22"/>
                <w:szCs w:val="22"/>
                <w:bdr w:val="nil"/>
                <w:lang w:val="de-DE"/>
              </w:rPr>
              <w:t xml:space="preserve"> sollte dabei </w:t>
            </w:r>
            <w:r w:rsidR="00455F13">
              <w:rPr>
                <w:rFonts w:ascii="Arial" w:hAnsi="Arial" w:eastAsia="Arial" w:cs="Arial"/>
                <w:sz w:val="22"/>
                <w:szCs w:val="22"/>
                <w:bdr w:val="nil"/>
                <w:lang w:val="de-DE"/>
              </w:rPr>
              <w:t xml:space="preserve">auf </w:t>
            </w:r>
            <w:r w:rsidR="0078680C">
              <w:rPr>
                <w:rFonts w:ascii="Arial" w:hAnsi="Arial" w:eastAsia="Arial" w:cs="Arial"/>
                <w:sz w:val="22"/>
                <w:szCs w:val="22"/>
                <w:bdr w:val="nil"/>
                <w:lang w:val="de-DE"/>
              </w:rPr>
              <w:t xml:space="preserve">Politiker, leitende </w:t>
            </w:r>
            <w:r w:rsidR="00455F13">
              <w:rPr>
                <w:rFonts w:ascii="Arial" w:hAnsi="Arial" w:eastAsia="Arial" w:cs="Arial"/>
                <w:sz w:val="22"/>
                <w:szCs w:val="22"/>
                <w:bdr w:val="nil"/>
                <w:lang w:val="de-DE"/>
              </w:rPr>
              <w:t>Beamte</w:t>
            </w:r>
            <w:r w:rsidR="0078680C">
              <w:rPr>
                <w:rFonts w:ascii="Arial" w:hAnsi="Arial" w:eastAsia="Arial" w:cs="Arial"/>
                <w:sz w:val="22"/>
                <w:szCs w:val="22"/>
                <w:bdr w:val="nil"/>
                <w:lang w:val="de-DE"/>
              </w:rPr>
              <w:t xml:space="preserve">, andere Entscheidungsträger und Institutionen </w:t>
            </w:r>
            <w:r w:rsidR="00455F13">
              <w:rPr>
                <w:rFonts w:ascii="Arial" w:hAnsi="Arial" w:eastAsia="Arial" w:cs="Arial"/>
                <w:sz w:val="22"/>
                <w:szCs w:val="22"/>
                <w:bdr w:val="nil"/>
                <w:lang w:val="de-DE"/>
              </w:rPr>
              <w:t xml:space="preserve">im </w:t>
            </w:r>
            <w:r w:rsidR="0078680C">
              <w:rPr>
                <w:rFonts w:ascii="Arial" w:hAnsi="Arial" w:eastAsia="Arial" w:cs="Arial"/>
                <w:sz w:val="22"/>
                <w:szCs w:val="22"/>
                <w:bdr w:val="nil"/>
                <w:lang w:val="de-DE"/>
              </w:rPr>
              <w:t xml:space="preserve">öffentlichen und privaten Sektor </w:t>
            </w:r>
            <w:r w:rsidR="00455F13">
              <w:rPr>
                <w:rFonts w:ascii="Arial" w:hAnsi="Arial" w:eastAsia="Arial" w:cs="Arial"/>
                <w:sz w:val="22"/>
                <w:szCs w:val="22"/>
                <w:bdr w:val="nil"/>
                <w:lang w:val="de-DE"/>
              </w:rPr>
              <w:t>gelegt werden</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w:t>
            </w:r>
            <w:r w:rsidR="00455F13">
              <w:rPr>
                <w:rFonts w:ascii="Arial" w:hAnsi="Arial" w:eastAsia="Arial" w:cs="Arial"/>
                <w:sz w:val="22"/>
                <w:szCs w:val="22"/>
                <w:bdr w:val="nil"/>
                <w:lang w:val="de-DE"/>
              </w:rPr>
              <w:t>Anleitung geben und dabei unterstützen,</w:t>
            </w:r>
            <w:r w:rsidR="0078680C">
              <w:rPr>
                <w:rFonts w:ascii="Arial" w:hAnsi="Arial" w:eastAsia="Arial" w:cs="Arial"/>
                <w:sz w:val="22"/>
                <w:szCs w:val="22"/>
                <w:bdr w:val="nil"/>
                <w:lang w:val="de-DE"/>
              </w:rPr>
              <w:t xml:space="preserve"> eine </w:t>
            </w:r>
            <w:r w:rsidR="008F4296">
              <w:rPr>
                <w:rFonts w:ascii="Arial" w:hAnsi="Arial" w:eastAsia="Arial" w:cs="Arial"/>
                <w:sz w:val="22"/>
                <w:szCs w:val="22"/>
                <w:bdr w:val="nil"/>
                <w:lang w:val="de-DE"/>
              </w:rPr>
              <w:t>Gleichheit</w:t>
            </w:r>
            <w:r w:rsidR="0078680C">
              <w:rPr>
                <w:rFonts w:ascii="Arial" w:hAnsi="Arial" w:eastAsia="Arial" w:cs="Arial"/>
                <w:sz w:val="22"/>
                <w:szCs w:val="22"/>
                <w:bdr w:val="nil"/>
                <w:lang w:val="de-DE"/>
              </w:rPr>
              <w:t>sperspektive in die Politik</w:t>
            </w:r>
            <w:r w:rsidR="00455F13">
              <w:rPr>
                <w:rFonts w:ascii="Arial" w:hAnsi="Arial" w:eastAsia="Arial" w:cs="Arial"/>
                <w:sz w:val="22"/>
                <w:szCs w:val="22"/>
                <w:bdr w:val="nil"/>
                <w:lang w:val="de-DE"/>
              </w:rPr>
              <w:t>entwicklung</w:t>
            </w:r>
            <w:r w:rsidR="0078680C">
              <w:rPr>
                <w:rFonts w:ascii="Arial" w:hAnsi="Arial" w:eastAsia="Arial" w:cs="Arial"/>
                <w:sz w:val="22"/>
                <w:szCs w:val="22"/>
                <w:bdr w:val="nil"/>
                <w:lang w:val="de-DE"/>
              </w:rPr>
              <w:t xml:space="preserve"> und den Gesetzgebungsprozess ein</w:t>
            </w:r>
            <w:r w:rsidR="005A7DE3">
              <w:rPr>
                <w:rFonts w:ascii="Arial" w:hAnsi="Arial" w:eastAsia="Arial" w:cs="Arial"/>
                <w:sz w:val="22"/>
                <w:szCs w:val="22"/>
                <w:bdr w:val="nil"/>
                <w:lang w:val="de-DE"/>
              </w:rPr>
              <w:t>zu</w:t>
            </w:r>
            <w:r w:rsidR="0078680C">
              <w:rPr>
                <w:rFonts w:ascii="Arial" w:hAnsi="Arial" w:eastAsia="Arial" w:cs="Arial"/>
                <w:sz w:val="22"/>
                <w:szCs w:val="22"/>
                <w:bdr w:val="nil"/>
                <w:lang w:val="de-DE"/>
              </w:rPr>
              <w:t xml:space="preserve">bringen und interne Gleichheits- und Vielfaltssysteme und </w:t>
            </w:r>
            <w:r w:rsidR="00455F13">
              <w:rPr>
                <w:rFonts w:ascii="Arial" w:hAnsi="Arial" w:eastAsia="Arial" w:cs="Arial"/>
                <w:sz w:val="22"/>
                <w:szCs w:val="22"/>
                <w:bdr w:val="nil"/>
                <w:lang w:val="de-DE"/>
              </w:rPr>
              <w:t>Schutzmaßnahmen zu implementieren</w:t>
            </w:r>
            <w:r w:rsidR="0078680C">
              <w:rPr>
                <w:rFonts w:ascii="Arial" w:hAnsi="Arial" w:eastAsia="Arial" w:cs="Arial"/>
                <w:sz w:val="22"/>
                <w:szCs w:val="22"/>
                <w:bdr w:val="nil"/>
                <w:lang w:val="de-DE"/>
              </w:rPr>
              <w:t>. Gute Pra</w:t>
            </w:r>
            <w:r w:rsidR="00455F13">
              <w:rPr>
                <w:rFonts w:ascii="Arial" w:hAnsi="Arial" w:eastAsia="Arial" w:cs="Arial"/>
                <w:sz w:val="22"/>
                <w:szCs w:val="22"/>
                <w:bdr w:val="nil"/>
                <w:lang w:val="de-DE"/>
              </w:rPr>
              <w:t>ktiken</w:t>
            </w:r>
            <w:r w:rsidR="0078680C">
              <w:rPr>
                <w:rFonts w:ascii="Arial" w:hAnsi="Arial" w:eastAsia="Arial" w:cs="Arial"/>
                <w:sz w:val="22"/>
                <w:szCs w:val="22"/>
                <w:bdr w:val="nil"/>
                <w:lang w:val="de-DE"/>
              </w:rPr>
              <w:t xml:space="preserve"> im Bereich der </w:t>
            </w:r>
            <w:r w:rsidR="00E3434C">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 </w:t>
            </w:r>
            <w:r w:rsidR="00455F13">
              <w:rPr>
                <w:rFonts w:ascii="Arial" w:hAnsi="Arial" w:eastAsia="Arial" w:cs="Arial"/>
                <w:sz w:val="22"/>
                <w:szCs w:val="22"/>
                <w:bdr w:val="nil"/>
                <w:lang w:val="de-DE"/>
              </w:rPr>
              <w:t>umfassen</w:t>
            </w:r>
            <w:r w:rsidR="0078680C">
              <w:rPr>
                <w:rFonts w:ascii="Arial" w:hAnsi="Arial" w:eastAsia="Arial" w:cs="Arial"/>
                <w:sz w:val="22"/>
                <w:szCs w:val="22"/>
                <w:bdr w:val="nil"/>
                <w:lang w:val="de-DE"/>
              </w:rPr>
              <w:t xml:space="preserve"> die Ausarbeitung und Umsetzung einer Gleich</w:t>
            </w:r>
            <w:r w:rsidR="00455F13">
              <w:rPr>
                <w:rFonts w:ascii="Arial" w:hAnsi="Arial" w:eastAsia="Arial" w:cs="Arial"/>
                <w:sz w:val="22"/>
                <w:szCs w:val="22"/>
                <w:bdr w:val="nil"/>
                <w:lang w:val="de-DE"/>
              </w:rPr>
              <w:t>heits</w:t>
            </w:r>
            <w:r w:rsidR="0078680C">
              <w:rPr>
                <w:rFonts w:ascii="Arial" w:hAnsi="Arial" w:eastAsia="Arial" w:cs="Arial"/>
                <w:sz w:val="22"/>
                <w:szCs w:val="22"/>
                <w:bdr w:val="nil"/>
                <w:lang w:val="de-DE"/>
              </w:rPr>
              <w:t>politik in der eigenen Organisation und im eigenen Verantwortungsbereich, die E</w:t>
            </w:r>
            <w:r w:rsidR="005A7DE3">
              <w:rPr>
                <w:rFonts w:ascii="Arial" w:hAnsi="Arial" w:eastAsia="Arial" w:cs="Arial"/>
                <w:sz w:val="22"/>
                <w:szCs w:val="22"/>
                <w:bdr w:val="nil"/>
                <w:lang w:val="de-DE"/>
              </w:rPr>
              <w:t>rnennung</w:t>
            </w:r>
            <w:r w:rsidR="0078680C">
              <w:rPr>
                <w:rFonts w:ascii="Arial" w:hAnsi="Arial" w:eastAsia="Arial" w:cs="Arial"/>
                <w:sz w:val="22"/>
                <w:szCs w:val="22"/>
                <w:bdr w:val="nil"/>
                <w:lang w:val="de-DE"/>
              </w:rPr>
              <w:t xml:space="preserve"> eines Gleich</w:t>
            </w:r>
            <w:r w:rsidR="00455F13">
              <w:rPr>
                <w:rFonts w:ascii="Arial" w:hAnsi="Arial" w:eastAsia="Arial" w:cs="Arial"/>
                <w:sz w:val="22"/>
                <w:szCs w:val="22"/>
                <w:bdr w:val="nil"/>
                <w:lang w:val="de-DE"/>
              </w:rPr>
              <w:t>heits</w:t>
            </w:r>
            <w:r w:rsidR="0078680C">
              <w:rPr>
                <w:rFonts w:ascii="Arial" w:hAnsi="Arial" w:eastAsia="Arial" w:cs="Arial"/>
                <w:sz w:val="22"/>
                <w:szCs w:val="22"/>
                <w:bdr w:val="nil"/>
                <w:lang w:val="de-DE"/>
              </w:rPr>
              <w:t>beauftragten, die Schulung der Mitarbeiter, die Konsultation derjenigen, die Ungleichheit erleben, das Erfassen von Gleich</w:t>
            </w:r>
            <w:r w:rsidR="00455F13">
              <w:rPr>
                <w:rFonts w:ascii="Arial" w:hAnsi="Arial" w:eastAsia="Arial" w:cs="Arial"/>
                <w:sz w:val="22"/>
                <w:szCs w:val="22"/>
                <w:bdr w:val="nil"/>
                <w:lang w:val="de-DE"/>
              </w:rPr>
              <w:t>heits</w:t>
            </w:r>
            <w:r w:rsidR="0078680C">
              <w:rPr>
                <w:rFonts w:ascii="Arial" w:hAnsi="Arial" w:eastAsia="Arial" w:cs="Arial"/>
                <w:sz w:val="22"/>
                <w:szCs w:val="22"/>
                <w:bdr w:val="nil"/>
                <w:lang w:val="de-DE"/>
              </w:rPr>
              <w:t xml:space="preserve">daten und die </w:t>
            </w:r>
            <w:r w:rsidR="00455F13">
              <w:rPr>
                <w:rFonts w:ascii="Arial" w:hAnsi="Arial" w:eastAsia="Arial" w:cs="Arial"/>
                <w:sz w:val="22"/>
                <w:szCs w:val="22"/>
                <w:bdr w:val="nil"/>
                <w:lang w:val="de-DE"/>
              </w:rPr>
              <w:t xml:space="preserve">Überprüfung </w:t>
            </w:r>
            <w:r w:rsidR="0078680C">
              <w:rPr>
                <w:rFonts w:ascii="Arial" w:hAnsi="Arial" w:eastAsia="Arial" w:cs="Arial"/>
                <w:sz w:val="22"/>
                <w:szCs w:val="22"/>
                <w:bdr w:val="nil"/>
                <w:lang w:val="de-DE"/>
              </w:rPr>
              <w:t>der Auswirkungen von wichtigen Entscheidungen zur Förderung von Gleich</w:t>
            </w:r>
            <w:r w:rsidR="00455F13">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und </w:t>
            </w:r>
            <w:r w:rsidR="00455F13">
              <w:rPr>
                <w:rFonts w:ascii="Arial" w:hAnsi="Arial" w:eastAsia="Arial" w:cs="Arial"/>
                <w:sz w:val="22"/>
                <w:szCs w:val="22"/>
                <w:bdr w:val="nil"/>
                <w:lang w:val="de-DE"/>
              </w:rPr>
              <w:t xml:space="preserve">zur </w:t>
            </w:r>
            <w:r w:rsidR="0078680C">
              <w:rPr>
                <w:rFonts w:ascii="Arial" w:hAnsi="Arial" w:eastAsia="Arial" w:cs="Arial"/>
                <w:sz w:val="22"/>
                <w:szCs w:val="22"/>
                <w:bdr w:val="nil"/>
                <w:lang w:val="de-DE"/>
              </w:rPr>
              <w:t xml:space="preserve">Verhinderung von Diskriminierung und Intoleranz. </w:t>
            </w:r>
            <w:r w:rsidR="00455F13">
              <w:rPr>
                <w:rFonts w:ascii="Arial" w:hAnsi="Arial" w:eastAsia="Arial" w:cs="Arial"/>
                <w:sz w:val="22"/>
                <w:szCs w:val="22"/>
                <w:bdr w:val="nil"/>
                <w:lang w:val="de-DE"/>
              </w:rPr>
              <w:t>Als gute Praktiken genannt werden können a</w:t>
            </w:r>
            <w:r w:rsidR="0078680C">
              <w:rPr>
                <w:rFonts w:ascii="Arial" w:hAnsi="Arial" w:eastAsia="Arial" w:cs="Arial"/>
                <w:sz w:val="22"/>
                <w:szCs w:val="22"/>
                <w:bdr w:val="nil"/>
                <w:lang w:val="de-DE"/>
              </w:rPr>
              <w:t>uch de</w:t>
            </w:r>
            <w:r w:rsidR="00455F13">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Einsatz anonymisierter Bewerbungsverfahren</w:t>
            </w:r>
            <w:r w:rsidR="00455F13">
              <w:rPr>
                <w:rFonts w:ascii="Arial" w:hAnsi="Arial" w:eastAsia="Arial" w:cs="Arial"/>
                <w:sz w:val="22"/>
                <w:szCs w:val="22"/>
                <w:bdr w:val="nil"/>
                <w:lang w:val="de-DE"/>
              </w:rPr>
              <w:t xml:space="preserve"> </w:t>
            </w:r>
            <w:r w:rsidR="005A7DE3">
              <w:rPr>
                <w:rFonts w:ascii="Arial" w:hAnsi="Arial" w:eastAsia="Arial" w:cs="Arial"/>
                <w:sz w:val="22"/>
                <w:szCs w:val="22"/>
                <w:bdr w:val="nil"/>
                <w:lang w:val="de-DE"/>
              </w:rPr>
              <w:t>sowie</w:t>
            </w:r>
            <w:r w:rsidR="0078680C">
              <w:rPr>
                <w:rFonts w:ascii="Arial" w:hAnsi="Arial" w:eastAsia="Arial" w:cs="Arial"/>
                <w:sz w:val="22"/>
                <w:szCs w:val="22"/>
                <w:bdr w:val="nil"/>
                <w:lang w:val="de-DE"/>
              </w:rPr>
              <w:t xml:space="preserve"> de</w:t>
            </w:r>
            <w:r w:rsidR="00455F13">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vereinfachte Zugang zu </w:t>
            </w:r>
            <w:r w:rsidR="00455F13">
              <w:rPr>
                <w:rFonts w:ascii="Arial" w:hAnsi="Arial" w:eastAsia="Arial" w:cs="Arial"/>
                <w:sz w:val="22"/>
                <w:szCs w:val="22"/>
                <w:bdr w:val="nil"/>
                <w:lang w:val="de-DE"/>
              </w:rPr>
              <w:t>Ausweisdokumenten und</w:t>
            </w:r>
            <w:r w:rsidR="0078680C">
              <w:rPr>
                <w:rFonts w:ascii="Arial" w:hAnsi="Arial" w:eastAsia="Arial" w:cs="Arial"/>
                <w:sz w:val="22"/>
                <w:szCs w:val="22"/>
                <w:bdr w:val="nil"/>
                <w:lang w:val="de-DE"/>
              </w:rPr>
              <w:t xml:space="preserve"> zur Schulanmeldung für Mitglieder von Gruppen, die Diskriminierung und Intoleranz ausgesetzt sind. </w:t>
            </w:r>
          </w:p>
        </w:tc>
      </w:tr>
      <w:tr w:rsidRPr="00046FAE" w:rsidR="00D8651C" w:rsidTr="00C0685F" w14:paraId="522DF9B2" w14:textId="77777777">
        <w:trPr>
          <w:gridAfter w:val="1"/>
          <w:wAfter w:w="649" w:type="dxa"/>
        </w:trPr>
        <w:tc>
          <w:tcPr>
            <w:tcW w:w="0" w:type="auto"/>
          </w:tcPr>
          <w:p w:rsidRPr="00C0685F" w:rsidR="00DD016F" w:rsidP="004B73F0" w:rsidRDefault="0078680C" w14:paraId="669DE383" w14:textId="3A3A4966">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Positive Maßnahmen, wie in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5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7 von ECRI beschrieben, schließen Maßnahmen zur Verhinderung oder zum Ausgleich von Benachteiligungen ein, unter denen Gruppen leiden, die Diskriminierung und Intoleranz ausgesetzt sind, </w:t>
            </w:r>
            <w:r w:rsidR="005A7DE3">
              <w:rPr>
                <w:rFonts w:ascii="Arial" w:hAnsi="Arial" w:eastAsia="Arial" w:cs="Arial"/>
                <w:sz w:val="22"/>
                <w:szCs w:val="22"/>
                <w:bdr w:val="nil"/>
                <w:lang w:val="de-DE"/>
              </w:rPr>
              <w:t>sowie Maßnahmen zur</w:t>
            </w:r>
            <w:r>
              <w:rPr>
                <w:rFonts w:ascii="Arial" w:hAnsi="Arial" w:eastAsia="Arial" w:cs="Arial"/>
                <w:sz w:val="22"/>
                <w:szCs w:val="22"/>
                <w:bdr w:val="nil"/>
                <w:lang w:val="de-DE"/>
              </w:rPr>
              <w:t xml:space="preserve"> Erleichterung ihrer vollen Partizipation in allen Lebensbereichen.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den Einsatz positiver Maßnahmen insbesondere in </w:t>
            </w:r>
            <w:r w:rsidR="005A7DE3">
              <w:rPr>
                <w:rFonts w:ascii="Arial" w:hAnsi="Arial" w:eastAsia="Arial" w:cs="Arial"/>
                <w:sz w:val="22"/>
                <w:szCs w:val="22"/>
                <w:bdr w:val="nil"/>
                <w:lang w:val="de-DE"/>
              </w:rPr>
              <w:t xml:space="preserve">solchen </w:t>
            </w:r>
            <w:r>
              <w:rPr>
                <w:rFonts w:ascii="Arial" w:hAnsi="Arial" w:eastAsia="Arial" w:cs="Arial"/>
                <w:sz w:val="22"/>
                <w:szCs w:val="22"/>
                <w:bdr w:val="nil"/>
                <w:lang w:val="de-DE"/>
              </w:rPr>
              <w:t xml:space="preserve">Bereichen </w:t>
            </w:r>
            <w:r w:rsidR="00455F13">
              <w:rPr>
                <w:rFonts w:ascii="Arial" w:hAnsi="Arial" w:eastAsia="Arial" w:cs="Arial"/>
                <w:sz w:val="22"/>
                <w:szCs w:val="22"/>
                <w:bdr w:val="nil"/>
                <w:lang w:val="de-DE"/>
              </w:rPr>
              <w:t>fördern</w:t>
            </w:r>
            <w:r>
              <w:rPr>
                <w:rFonts w:ascii="Arial" w:hAnsi="Arial" w:eastAsia="Arial" w:cs="Arial"/>
                <w:sz w:val="22"/>
                <w:szCs w:val="22"/>
                <w:bdr w:val="nil"/>
                <w:lang w:val="de-DE"/>
              </w:rPr>
              <w:t>, in denen eine tief verwurzelte, dauerhafte strukturelle Diskriminierung bekämpft werden muss. Beispiele sind die besondere Unterstützung in Vorschule und Schule für Gruppen, die Diskriminierung und Intoleranz ausgesetzt sind, und die gezielte Einstellung von Angehörigen dieser Gruppen im öffentlichen und privaten Sektor.</w:t>
            </w:r>
          </w:p>
        </w:tc>
      </w:tr>
      <w:tr w:rsidRPr="00046FAE" w:rsidR="00D8651C" w:rsidTr="00C0685F" w14:paraId="16A33AA3" w14:textId="77777777">
        <w:trPr>
          <w:gridAfter w:val="1"/>
          <w:wAfter w:w="649" w:type="dxa"/>
        </w:trPr>
        <w:tc>
          <w:tcPr>
            <w:tcW w:w="0" w:type="auto"/>
          </w:tcPr>
          <w:p w:rsidRPr="00C0685F" w:rsidR="00DD016F" w:rsidP="004B73F0" w:rsidRDefault="0078680C" w14:paraId="48D10B17" w14:textId="63BF4B8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Gemäß </w:t>
            </w:r>
            <w:r w:rsidR="00455F13">
              <w:rPr>
                <w:rFonts w:ascii="Arial" w:hAnsi="Arial" w:eastAsia="Arial" w:cs="Arial"/>
                <w:sz w:val="22"/>
                <w:szCs w:val="22"/>
                <w:bdr w:val="nil"/>
                <w:lang w:val="de-DE"/>
              </w:rPr>
              <w:t>§</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2 und 8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7 von ECRI sollten die nationalen Antidiskriminierungsgesetze die öffentlichen </w:t>
            </w:r>
            <w:r w:rsidR="00455F13">
              <w:rPr>
                <w:rFonts w:ascii="Arial" w:hAnsi="Arial" w:eastAsia="Arial" w:cs="Arial"/>
                <w:sz w:val="22"/>
                <w:szCs w:val="22"/>
                <w:bdr w:val="nil"/>
                <w:lang w:val="de-DE"/>
              </w:rPr>
              <w:t>Behörden</w:t>
            </w:r>
            <w:r>
              <w:rPr>
                <w:rFonts w:ascii="Arial" w:hAnsi="Arial" w:eastAsia="Arial" w:cs="Arial"/>
                <w:sz w:val="22"/>
                <w:szCs w:val="22"/>
                <w:bdr w:val="nil"/>
                <w:lang w:val="de-DE"/>
              </w:rPr>
              <w:t xml:space="preserve"> dazu verpflichten, bei der Durchführung ihrer Tätigkeit</w:t>
            </w:r>
            <w:r w:rsidR="00455F13">
              <w:rPr>
                <w:rFonts w:ascii="Arial" w:hAnsi="Arial" w:eastAsia="Arial" w:cs="Arial"/>
                <w:sz w:val="22"/>
                <w:szCs w:val="22"/>
                <w:bdr w:val="nil"/>
                <w:lang w:val="de-DE"/>
              </w:rPr>
              <w:t>en</w:t>
            </w:r>
            <w:r>
              <w:rPr>
                <w:rFonts w:ascii="Arial" w:hAnsi="Arial" w:eastAsia="Arial" w:cs="Arial"/>
                <w:sz w:val="22"/>
                <w:szCs w:val="22"/>
                <w:bdr w:val="nil"/>
                <w:lang w:val="de-DE"/>
              </w:rPr>
              <w:t xml:space="preserve"> Gleich</w:t>
            </w:r>
            <w:r w:rsidR="00455F13">
              <w:rPr>
                <w:rFonts w:ascii="Arial" w:hAnsi="Arial" w:eastAsia="Arial" w:cs="Arial"/>
                <w:sz w:val="22"/>
                <w:szCs w:val="22"/>
                <w:bdr w:val="nil"/>
                <w:lang w:val="de-DE"/>
              </w:rPr>
              <w:t>heit</w:t>
            </w:r>
            <w:r>
              <w:rPr>
                <w:rFonts w:ascii="Arial" w:hAnsi="Arial" w:eastAsia="Arial" w:cs="Arial"/>
                <w:sz w:val="22"/>
                <w:szCs w:val="22"/>
                <w:bdr w:val="nil"/>
                <w:lang w:val="de-DE"/>
              </w:rPr>
              <w:t xml:space="preserve"> zu fördern und Diskriminierung zu verhindern. In Mitgliedstaaten, in denen eine solche gesetzliche Verpflichtung nicht existiert, sollten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die Umsetzung dieser Empfehlung fördern. </w:t>
            </w:r>
          </w:p>
        </w:tc>
      </w:tr>
      <w:tr w:rsidRPr="00046FAE" w:rsidR="00D8651C" w:rsidTr="00C0685F" w14:paraId="0C13174C" w14:textId="77777777">
        <w:trPr>
          <w:gridAfter w:val="1"/>
          <w:wAfter w:w="649" w:type="dxa"/>
        </w:trPr>
        <w:tc>
          <w:tcPr>
            <w:tcW w:w="0" w:type="auto"/>
          </w:tcPr>
          <w:p w:rsidRPr="006C29B1" w:rsidR="004B73F0" w:rsidP="004B73F0" w:rsidRDefault="005A7DE3" w14:paraId="0F0D4B6C" w14:textId="07FF17F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Wo eine </w:t>
            </w:r>
            <w:r w:rsidR="0078680C">
              <w:rPr>
                <w:rFonts w:ascii="Arial" w:hAnsi="Arial" w:eastAsia="Arial" w:cs="Arial"/>
                <w:sz w:val="22"/>
                <w:szCs w:val="22"/>
                <w:bdr w:val="nil"/>
                <w:lang w:val="de-DE"/>
              </w:rPr>
              <w:t>solche gesetzliche Verpflichtung</w:t>
            </w:r>
            <w:r>
              <w:rPr>
                <w:rFonts w:ascii="Arial" w:hAnsi="Arial" w:eastAsia="Arial" w:cs="Arial"/>
                <w:sz w:val="22"/>
                <w:szCs w:val="22"/>
                <w:bdr w:val="nil"/>
                <w:lang w:val="de-DE"/>
              </w:rPr>
              <w:t xml:space="preserve"> existiert</w:t>
            </w:r>
            <w:r w:rsidR="0078680C">
              <w:rPr>
                <w:rFonts w:ascii="Arial" w:hAnsi="Arial" w:eastAsia="Arial" w:cs="Arial"/>
                <w:sz w:val="22"/>
                <w:szCs w:val="22"/>
                <w:bdr w:val="nil"/>
                <w:lang w:val="de-DE"/>
              </w:rPr>
              <w:t xml:space="preserve">, sollten die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sidR="007647E4">
              <w:rPr>
                <w:rFonts w:ascii="Arial" w:hAnsi="Arial" w:eastAsia="Arial" w:cs="Arial"/>
                <w:sz w:val="22"/>
                <w:szCs w:val="22"/>
                <w:bdr w:val="nil"/>
                <w:lang w:val="de-DE"/>
              </w:rPr>
              <w:t>das Bewusstsein für</w:t>
            </w:r>
            <w:r w:rsidR="0078680C">
              <w:rPr>
                <w:rFonts w:ascii="Arial" w:hAnsi="Arial" w:eastAsia="Arial" w:cs="Arial"/>
                <w:sz w:val="22"/>
                <w:szCs w:val="22"/>
                <w:bdr w:val="nil"/>
                <w:lang w:val="de-DE"/>
              </w:rPr>
              <w:t xml:space="preserve"> die</w:t>
            </w:r>
            <w:r w:rsidR="007647E4">
              <w:rPr>
                <w:rFonts w:ascii="Arial" w:hAnsi="Arial" w:eastAsia="Arial" w:cs="Arial"/>
                <w:sz w:val="22"/>
                <w:szCs w:val="22"/>
                <w:bdr w:val="nil"/>
                <w:lang w:val="de-DE"/>
              </w:rPr>
              <w:t>se</w:t>
            </w:r>
            <w:r w:rsidR="0078680C">
              <w:rPr>
                <w:rFonts w:ascii="Arial" w:hAnsi="Arial" w:eastAsia="Arial" w:cs="Arial"/>
                <w:sz w:val="22"/>
                <w:szCs w:val="22"/>
                <w:bdr w:val="nil"/>
                <w:lang w:val="de-DE"/>
              </w:rPr>
              <w:t xml:space="preserve"> allgemeine Verpflichtung </w:t>
            </w:r>
            <w:r w:rsidR="008D71B0">
              <w:rPr>
                <w:rFonts w:ascii="Arial" w:hAnsi="Arial" w:eastAsia="Arial" w:cs="Arial"/>
                <w:sz w:val="22"/>
                <w:szCs w:val="22"/>
                <w:bdr w:val="nil"/>
                <w:lang w:val="de-DE"/>
              </w:rPr>
              <w:t>zur Einbeziehung des</w:t>
            </w:r>
            <w:r w:rsidR="007647E4">
              <w:rPr>
                <w:rFonts w:ascii="Arial" w:hAnsi="Arial" w:eastAsia="Arial" w:cs="Arial"/>
                <w:sz w:val="22"/>
                <w:szCs w:val="22"/>
                <w:bdr w:val="nil"/>
                <w:lang w:val="de-DE"/>
              </w:rPr>
              <w:t xml:space="preserve"> </w:t>
            </w:r>
            <w:r w:rsidR="00E3434C">
              <w:rPr>
                <w:rFonts w:ascii="Arial" w:hAnsi="Arial" w:eastAsia="Arial" w:cs="Arial"/>
                <w:sz w:val="22"/>
                <w:szCs w:val="22"/>
                <w:bdr w:val="nil"/>
                <w:lang w:val="de-DE"/>
              </w:rPr>
              <w:t>Gleichheit</w:t>
            </w:r>
            <w:r w:rsidR="007647E4">
              <w:rPr>
                <w:rFonts w:ascii="Arial" w:hAnsi="Arial" w:eastAsia="Arial" w:cs="Arial"/>
                <w:sz w:val="22"/>
                <w:szCs w:val="22"/>
                <w:bdr w:val="nil"/>
                <w:lang w:val="de-DE"/>
              </w:rPr>
              <w:t>sgrundsatz</w:t>
            </w:r>
            <w:r w:rsidR="008D71B0">
              <w:rPr>
                <w:rFonts w:ascii="Arial" w:hAnsi="Arial" w:eastAsia="Arial" w:cs="Arial"/>
                <w:sz w:val="22"/>
                <w:szCs w:val="22"/>
                <w:bdr w:val="nil"/>
                <w:lang w:val="de-DE"/>
              </w:rPr>
              <w:t>es</w:t>
            </w:r>
            <w:r w:rsidR="0078680C">
              <w:rPr>
                <w:rFonts w:ascii="Arial" w:hAnsi="Arial" w:eastAsia="Arial" w:cs="Arial"/>
                <w:sz w:val="22"/>
                <w:szCs w:val="22"/>
                <w:bdr w:val="nil"/>
                <w:lang w:val="de-DE"/>
              </w:rPr>
              <w:t xml:space="preserve"> in </w:t>
            </w:r>
            <w:r w:rsidR="008D71B0">
              <w:rPr>
                <w:rFonts w:ascii="Arial" w:hAnsi="Arial" w:eastAsia="Arial" w:cs="Arial"/>
                <w:sz w:val="22"/>
                <w:szCs w:val="22"/>
                <w:bdr w:val="nil"/>
                <w:lang w:val="de-DE"/>
              </w:rPr>
              <w:t>alle</w:t>
            </w:r>
            <w:r w:rsidR="0078680C">
              <w:rPr>
                <w:rFonts w:ascii="Arial" w:hAnsi="Arial" w:eastAsia="Arial" w:cs="Arial"/>
                <w:sz w:val="22"/>
                <w:szCs w:val="22"/>
                <w:bdr w:val="nil"/>
                <w:lang w:val="de-DE"/>
              </w:rPr>
              <w:t xml:space="preserve"> Tätigkeit</w:t>
            </w:r>
            <w:r w:rsidR="008D71B0">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der öffentlichen </w:t>
            </w:r>
            <w:r w:rsidR="007647E4">
              <w:rPr>
                <w:rFonts w:ascii="Arial" w:hAnsi="Arial" w:eastAsia="Arial" w:cs="Arial"/>
                <w:sz w:val="22"/>
                <w:szCs w:val="22"/>
                <w:bdr w:val="nil"/>
                <w:lang w:val="de-DE"/>
              </w:rPr>
              <w:t xml:space="preserve">Hand </w:t>
            </w:r>
            <w:r w:rsidR="008D71B0">
              <w:rPr>
                <w:rFonts w:ascii="Arial" w:hAnsi="Arial" w:eastAsia="Arial" w:cs="Arial"/>
                <w:sz w:val="22"/>
                <w:szCs w:val="22"/>
                <w:bdr w:val="nil"/>
                <w:lang w:val="de-DE"/>
              </w:rPr>
              <w:t>schärfen</w:t>
            </w:r>
            <w:r w:rsidR="007647E4">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und </w:t>
            </w:r>
            <w:r w:rsidR="008D71B0">
              <w:rPr>
                <w:rFonts w:ascii="Arial" w:hAnsi="Arial" w:eastAsia="Arial" w:cs="Arial"/>
                <w:sz w:val="22"/>
                <w:szCs w:val="22"/>
                <w:bdr w:val="nil"/>
                <w:lang w:val="de-DE"/>
              </w:rPr>
              <w:t>ihre</w:t>
            </w:r>
            <w:r w:rsidR="0078680C">
              <w:rPr>
                <w:rFonts w:ascii="Arial" w:hAnsi="Arial" w:eastAsia="Arial" w:cs="Arial"/>
                <w:sz w:val="22"/>
                <w:szCs w:val="22"/>
                <w:bdr w:val="nil"/>
                <w:lang w:val="de-DE"/>
              </w:rPr>
              <w:t xml:space="preserve"> Umsetzung unterstützen und überwachen. Zu diesem Zweck sollten die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Standards entwickeln, </w:t>
            </w:r>
            <w:r w:rsidR="007647E4">
              <w:rPr>
                <w:rFonts w:ascii="Arial" w:hAnsi="Arial" w:eastAsia="Arial" w:cs="Arial"/>
                <w:sz w:val="22"/>
                <w:szCs w:val="22"/>
                <w:bdr w:val="nil"/>
                <w:lang w:val="de-DE"/>
              </w:rPr>
              <w:t xml:space="preserve">die beispielsweise die </w:t>
            </w:r>
            <w:r w:rsidR="0078680C">
              <w:rPr>
                <w:rFonts w:ascii="Arial" w:hAnsi="Arial" w:eastAsia="Arial" w:cs="Arial"/>
                <w:sz w:val="22"/>
                <w:szCs w:val="22"/>
                <w:bdr w:val="nil"/>
                <w:lang w:val="de-DE"/>
              </w:rPr>
              <w:t xml:space="preserve">Ausarbeitung und Umsetzung von Leitlinien </w:t>
            </w:r>
            <w:r w:rsidR="008D71B0">
              <w:rPr>
                <w:rFonts w:ascii="Arial" w:hAnsi="Arial" w:eastAsia="Arial" w:cs="Arial"/>
                <w:sz w:val="22"/>
                <w:szCs w:val="22"/>
                <w:bdr w:val="nil"/>
                <w:lang w:val="de-DE"/>
              </w:rPr>
              <w:t>für Gleichheitsfolgenabschätzungen und Gleichheitsprogramme umfassen können</w:t>
            </w:r>
            <w:r w:rsidR="0078680C">
              <w:rPr>
                <w:rFonts w:ascii="Arial" w:hAnsi="Arial" w:eastAsia="Arial" w:cs="Arial"/>
                <w:sz w:val="22"/>
                <w:szCs w:val="22"/>
                <w:bdr w:val="nil"/>
                <w:lang w:val="de-DE"/>
              </w:rPr>
              <w:t xml:space="preserve"> (siehe diesbezüglich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27 des Begründungstextes zur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 7 von ECRI und den Begründungstext zu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1 </w:t>
            </w:r>
            <w:r w:rsidR="007647E4">
              <w:rPr>
                <w:rFonts w:ascii="Arial" w:hAnsi="Arial" w:eastAsia="Arial" w:cs="Arial"/>
                <w:sz w:val="22"/>
                <w:szCs w:val="22"/>
                <w:bdr w:val="nil"/>
                <w:lang w:val="de-DE"/>
              </w:rPr>
              <w:t>ihr</w:t>
            </w:r>
            <w:r w:rsidR="0078680C">
              <w:rPr>
                <w:rFonts w:ascii="Arial" w:hAnsi="Arial" w:eastAsia="Arial" w:cs="Arial"/>
                <w:sz w:val="22"/>
                <w:szCs w:val="22"/>
                <w:bdr w:val="nil"/>
                <w:lang w:val="de-DE"/>
              </w:rPr>
              <w:t xml:space="preserve">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w:t>
            </w:r>
            <w:r w:rsidR="007647E4">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14 und für die Bereiche Polizeiarbeit und Bildung die Empfehlungen in ihrer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 11 und </w:t>
            </w:r>
            <w:r w:rsidR="00D4725B">
              <w:rPr>
                <w:rFonts w:ascii="Arial" w:hAnsi="Arial" w:eastAsia="Arial" w:cs="Arial"/>
                <w:sz w:val="22"/>
                <w:szCs w:val="22"/>
                <w:bdr w:val="nil"/>
                <w:lang w:val="de-DE"/>
              </w:rPr>
              <w:t xml:space="preserve">Teil </w:t>
            </w:r>
            <w:r w:rsidR="0078680C">
              <w:rPr>
                <w:rFonts w:ascii="Arial" w:hAnsi="Arial" w:eastAsia="Arial" w:cs="Arial"/>
                <w:sz w:val="22"/>
                <w:szCs w:val="22"/>
                <w:bdr w:val="nil"/>
                <w:lang w:val="de-DE"/>
              </w:rPr>
              <w:t xml:space="preserve">II.1 ihrer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 10). </w:t>
            </w:r>
            <w:r w:rsidR="007647E4">
              <w:rPr>
                <w:rFonts w:ascii="Arial" w:hAnsi="Arial" w:eastAsia="Arial" w:cs="Arial"/>
                <w:sz w:val="22"/>
                <w:szCs w:val="22"/>
                <w:bdr w:val="nil"/>
                <w:lang w:val="de-DE"/>
              </w:rPr>
              <w:t xml:space="preserve">Außerdem sollten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sidR="007647E4">
              <w:rPr>
                <w:rFonts w:ascii="Arial" w:hAnsi="Arial" w:eastAsia="Arial" w:cs="Arial"/>
                <w:sz w:val="22"/>
                <w:szCs w:val="22"/>
                <w:bdr w:val="nil"/>
                <w:lang w:val="de-DE"/>
              </w:rPr>
              <w:t xml:space="preserve">Behörden </w:t>
            </w:r>
            <w:r w:rsidR="0078680C">
              <w:rPr>
                <w:rFonts w:ascii="Arial" w:hAnsi="Arial" w:eastAsia="Arial" w:cs="Arial"/>
                <w:sz w:val="22"/>
                <w:szCs w:val="22"/>
                <w:bdr w:val="nil"/>
                <w:lang w:val="de-DE"/>
              </w:rPr>
              <w:t xml:space="preserve">während der </w:t>
            </w:r>
            <w:r w:rsidR="008D71B0">
              <w:rPr>
                <w:rFonts w:ascii="Arial" w:hAnsi="Arial" w:eastAsia="Arial" w:cs="Arial"/>
                <w:sz w:val="22"/>
                <w:szCs w:val="22"/>
                <w:bdr w:val="nil"/>
                <w:lang w:val="de-DE"/>
              </w:rPr>
              <w:t>Implementierung</w:t>
            </w:r>
            <w:r w:rsidR="0078680C">
              <w:rPr>
                <w:rFonts w:ascii="Arial" w:hAnsi="Arial" w:eastAsia="Arial" w:cs="Arial"/>
                <w:sz w:val="22"/>
                <w:szCs w:val="22"/>
                <w:bdr w:val="nil"/>
                <w:lang w:val="de-DE"/>
              </w:rPr>
              <w:t xml:space="preserve"> </w:t>
            </w:r>
            <w:r w:rsidR="007647E4">
              <w:rPr>
                <w:rFonts w:ascii="Arial" w:hAnsi="Arial" w:eastAsia="Arial" w:cs="Arial"/>
                <w:sz w:val="22"/>
                <w:szCs w:val="22"/>
                <w:bdr w:val="nil"/>
                <w:lang w:val="de-DE"/>
              </w:rPr>
              <w:t xml:space="preserve">solcher </w:t>
            </w:r>
            <w:r w:rsidR="0078680C">
              <w:rPr>
                <w:rFonts w:ascii="Arial" w:hAnsi="Arial" w:eastAsia="Arial" w:cs="Arial"/>
                <w:sz w:val="22"/>
                <w:szCs w:val="22"/>
                <w:bdr w:val="nil"/>
                <w:lang w:val="de-DE"/>
              </w:rPr>
              <w:t>Standards durch Schulung und Anleitungsmaterialien unterstützen</w:t>
            </w:r>
            <w:r w:rsidR="008D71B0">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und </w:t>
            </w:r>
            <w:r w:rsidR="007647E4">
              <w:rPr>
                <w:rFonts w:ascii="Arial" w:hAnsi="Arial" w:eastAsia="Arial" w:cs="Arial"/>
                <w:sz w:val="22"/>
                <w:szCs w:val="22"/>
                <w:bdr w:val="nil"/>
                <w:lang w:val="de-DE"/>
              </w:rPr>
              <w:t>bei der regelmäßigen Überprüfung ihrer Umsetzung durch</w:t>
            </w:r>
            <w:r w:rsidR="0078680C">
              <w:rPr>
                <w:rFonts w:ascii="Arial" w:hAnsi="Arial" w:eastAsia="Arial" w:cs="Arial"/>
                <w:sz w:val="22"/>
                <w:szCs w:val="22"/>
                <w:bdr w:val="nil"/>
                <w:lang w:val="de-DE"/>
              </w:rPr>
              <w:t xml:space="preserve"> Monitoring und </w:t>
            </w:r>
            <w:r w:rsidR="007647E4">
              <w:rPr>
                <w:rFonts w:ascii="Arial" w:hAnsi="Arial" w:eastAsia="Arial" w:cs="Arial"/>
                <w:sz w:val="22"/>
                <w:szCs w:val="22"/>
                <w:bdr w:val="nil"/>
                <w:lang w:val="de-DE"/>
              </w:rPr>
              <w:t>Wirkungsp</w:t>
            </w:r>
            <w:r w:rsidR="0078680C">
              <w:rPr>
                <w:rFonts w:ascii="Arial" w:hAnsi="Arial" w:eastAsia="Arial" w:cs="Arial"/>
                <w:sz w:val="22"/>
                <w:szCs w:val="22"/>
                <w:bdr w:val="nil"/>
                <w:lang w:val="de-DE"/>
              </w:rPr>
              <w:t>rüf</w:t>
            </w:r>
            <w:r w:rsidR="007647E4">
              <w:rPr>
                <w:rFonts w:ascii="Arial" w:hAnsi="Arial" w:eastAsia="Arial" w:cs="Arial"/>
                <w:sz w:val="22"/>
                <w:szCs w:val="22"/>
                <w:bdr w:val="nil"/>
                <w:lang w:val="de-DE"/>
              </w:rPr>
              <w:t>ung mitwirken</w:t>
            </w:r>
            <w:r w:rsidR="0078680C">
              <w:rPr>
                <w:rFonts w:ascii="Arial" w:hAnsi="Arial" w:eastAsia="Arial" w:cs="Arial"/>
                <w:sz w:val="22"/>
                <w:szCs w:val="22"/>
                <w:bdr w:val="nil"/>
                <w:lang w:val="de-DE"/>
              </w:rPr>
              <w:t xml:space="preserve">. </w:t>
            </w:r>
            <w:r w:rsidR="007647E4">
              <w:rPr>
                <w:rFonts w:ascii="Arial" w:hAnsi="Arial" w:eastAsia="Arial" w:cs="Arial"/>
                <w:sz w:val="22"/>
                <w:szCs w:val="22"/>
                <w:bdr w:val="nil"/>
                <w:lang w:val="de-DE"/>
              </w:rPr>
              <w:t>Gleichheits</w:t>
            </w:r>
            <w:r w:rsidR="00781974">
              <w:rPr>
                <w:rFonts w:ascii="Arial" w:hAnsi="Arial" w:eastAsia="Arial" w:cs="Arial"/>
                <w:sz w:val="22"/>
                <w:szCs w:val="22"/>
                <w:bdr w:val="nil"/>
                <w:lang w:val="de-DE"/>
              </w:rPr>
              <w:t>stelle</w:t>
            </w:r>
            <w:r w:rsidR="0078680C">
              <w:rPr>
                <w:rFonts w:ascii="Arial" w:hAnsi="Arial" w:eastAsia="Arial" w:cs="Arial"/>
                <w:sz w:val="22"/>
                <w:szCs w:val="22"/>
                <w:bdr w:val="nil"/>
                <w:lang w:val="de-DE"/>
              </w:rPr>
              <w:t xml:space="preserve">n </w:t>
            </w:r>
            <w:r w:rsidR="007647E4">
              <w:rPr>
                <w:rFonts w:ascii="Arial" w:hAnsi="Arial" w:eastAsia="Arial" w:cs="Arial"/>
                <w:sz w:val="22"/>
                <w:szCs w:val="22"/>
                <w:bdr w:val="nil"/>
                <w:lang w:val="de-DE"/>
              </w:rPr>
              <w:t xml:space="preserve">sollten </w:t>
            </w:r>
            <w:r w:rsidR="0078680C">
              <w:rPr>
                <w:rFonts w:ascii="Arial" w:hAnsi="Arial" w:eastAsia="Arial" w:cs="Arial"/>
                <w:sz w:val="22"/>
                <w:szCs w:val="22"/>
                <w:bdr w:val="nil"/>
                <w:lang w:val="de-DE"/>
              </w:rPr>
              <w:t>diese</w:t>
            </w:r>
            <w:r w:rsidR="00055F85">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Standards </w:t>
            </w:r>
            <w:r w:rsidR="00055F85">
              <w:rPr>
                <w:rFonts w:ascii="Arial" w:hAnsi="Arial" w:eastAsia="Arial" w:cs="Arial"/>
                <w:sz w:val="22"/>
                <w:szCs w:val="22"/>
                <w:bdr w:val="nil"/>
                <w:lang w:val="de-DE"/>
              </w:rPr>
              <w:t>gegebenenfalls Geltung verschaffen</w:t>
            </w:r>
            <w:r w:rsidR="007647E4">
              <w:rPr>
                <w:rFonts w:ascii="Arial" w:hAnsi="Arial" w:eastAsia="Arial" w:cs="Arial"/>
                <w:sz w:val="22"/>
                <w:szCs w:val="22"/>
                <w:bdr w:val="nil"/>
                <w:lang w:val="de-DE"/>
              </w:rPr>
              <w:t xml:space="preserve"> oder darauf hinwirken, </w:t>
            </w:r>
            <w:r w:rsidR="007647E4">
              <w:rPr>
                <w:rFonts w:ascii="Arial" w:hAnsi="Arial" w:eastAsia="Arial" w:cs="Arial"/>
                <w:sz w:val="22"/>
                <w:szCs w:val="22"/>
                <w:bdr w:val="nil"/>
                <w:lang w:val="de-DE"/>
              </w:rPr>
              <w:lastRenderedPageBreak/>
              <w:t xml:space="preserve">dass sie </w:t>
            </w:r>
            <w:r w:rsidR="0078680C">
              <w:rPr>
                <w:rFonts w:ascii="Arial" w:hAnsi="Arial" w:eastAsia="Arial" w:cs="Arial"/>
                <w:sz w:val="22"/>
                <w:szCs w:val="22"/>
                <w:bdr w:val="nil"/>
                <w:lang w:val="de-DE"/>
              </w:rPr>
              <w:t xml:space="preserve">im Rahmen von Verfahren </w:t>
            </w:r>
            <w:r w:rsidR="007647E4">
              <w:rPr>
                <w:rFonts w:ascii="Arial" w:hAnsi="Arial" w:eastAsia="Arial" w:cs="Arial"/>
                <w:sz w:val="22"/>
                <w:szCs w:val="22"/>
                <w:bdr w:val="nil"/>
                <w:lang w:val="de-DE"/>
              </w:rPr>
              <w:t xml:space="preserve">vor </w:t>
            </w:r>
            <w:r w:rsidR="0078680C">
              <w:rPr>
                <w:rFonts w:ascii="Arial" w:hAnsi="Arial" w:eastAsia="Arial" w:cs="Arial"/>
                <w:sz w:val="22"/>
                <w:szCs w:val="22"/>
                <w:bdr w:val="nil"/>
                <w:lang w:val="de-DE"/>
              </w:rPr>
              <w:t>de</w:t>
            </w:r>
            <w:r w:rsidR="008D71B0">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zuständigen Behörde</w:t>
            </w:r>
            <w:r w:rsidR="008D71B0">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oder </w:t>
            </w:r>
            <w:r w:rsidR="00055F85">
              <w:rPr>
                <w:rFonts w:ascii="Arial" w:hAnsi="Arial" w:eastAsia="Arial" w:cs="Arial"/>
                <w:sz w:val="22"/>
                <w:szCs w:val="22"/>
                <w:bdr w:val="nil"/>
                <w:lang w:val="de-DE"/>
              </w:rPr>
              <w:t>im Wege</w:t>
            </w:r>
            <w:r w:rsidR="0078680C">
              <w:rPr>
                <w:rFonts w:ascii="Arial" w:hAnsi="Arial" w:eastAsia="Arial" w:cs="Arial"/>
                <w:sz w:val="22"/>
                <w:szCs w:val="22"/>
                <w:bdr w:val="nil"/>
                <w:lang w:val="de-DE"/>
              </w:rPr>
              <w:t xml:space="preserve"> gerichtliche</w:t>
            </w:r>
            <w:r w:rsidR="00055F85">
              <w:rPr>
                <w:rFonts w:ascii="Arial" w:hAnsi="Arial" w:eastAsia="Arial" w:cs="Arial"/>
                <w:sz w:val="22"/>
                <w:szCs w:val="22"/>
                <w:bdr w:val="nil"/>
                <w:lang w:val="de-DE"/>
              </w:rPr>
              <w:t>r Überp</w:t>
            </w:r>
            <w:r w:rsidR="0078680C">
              <w:rPr>
                <w:rFonts w:ascii="Arial" w:hAnsi="Arial" w:eastAsia="Arial" w:cs="Arial"/>
                <w:sz w:val="22"/>
                <w:szCs w:val="22"/>
                <w:bdr w:val="nil"/>
                <w:lang w:val="de-DE"/>
              </w:rPr>
              <w:t xml:space="preserve">rüfung </w:t>
            </w:r>
            <w:r w:rsidR="007647E4">
              <w:rPr>
                <w:rFonts w:ascii="Arial" w:hAnsi="Arial" w:eastAsia="Arial" w:cs="Arial"/>
                <w:sz w:val="22"/>
                <w:szCs w:val="22"/>
                <w:bdr w:val="nil"/>
                <w:lang w:val="de-DE"/>
              </w:rPr>
              <w:t>durchgesetzt werden</w:t>
            </w:r>
            <w:r w:rsidR="0078680C">
              <w:rPr>
                <w:rFonts w:ascii="Arial" w:hAnsi="Arial" w:eastAsia="Arial" w:cs="Arial"/>
                <w:sz w:val="22"/>
                <w:szCs w:val="22"/>
                <w:bdr w:val="nil"/>
                <w:lang w:val="de-DE"/>
              </w:rPr>
              <w:t>.</w:t>
            </w:r>
          </w:p>
        </w:tc>
      </w:tr>
      <w:tr w:rsidRPr="00046FAE" w:rsidR="00D8651C" w:rsidTr="00C0685F" w14:paraId="0B7587F9" w14:textId="77777777">
        <w:trPr>
          <w:gridAfter w:val="1"/>
          <w:wAfter w:w="649" w:type="dxa"/>
        </w:trPr>
        <w:tc>
          <w:tcPr>
            <w:tcW w:w="0" w:type="auto"/>
          </w:tcPr>
          <w:p w:rsidRPr="006C29B1" w:rsidR="00DD016F" w:rsidP="004B73F0" w:rsidRDefault="00055F85" w14:paraId="454BE3F8" w14:textId="414D927B">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lang w:val="de-DE"/>
              </w:rPr>
              <w:lastRenderedPageBreak/>
              <w:t>D</w:t>
            </w:r>
            <w:r w:rsidR="0078680C">
              <w:rPr>
                <w:rFonts w:ascii="Arial" w:hAnsi="Arial" w:eastAsia="Arial" w:cs="Arial"/>
                <w:sz w:val="22"/>
                <w:szCs w:val="22"/>
                <w:bdr w:val="nil"/>
                <w:lang w:val="de-DE"/>
              </w:rPr>
              <w:t>ie Kompetenz, Maßnahmen von Legislative und Exekutive auf Bundes-, regionaler und lokaler Ebene zu überwachen, sollte durch die Kompetenz ergänzt werden, diese</w:t>
            </w:r>
            <w:r>
              <w:rPr>
                <w:rFonts w:ascii="Arial" w:hAnsi="Arial" w:eastAsia="Arial" w:cs="Arial"/>
                <w:sz w:val="22"/>
                <w:szCs w:val="22"/>
                <w:bdr w:val="nil"/>
                <w:lang w:val="de-DE"/>
              </w:rPr>
              <w:t xml:space="preserve">, wie in </w:t>
            </w:r>
            <w:r w:rsidR="00786C47">
              <w:rPr>
                <w:rFonts w:ascii="Arial" w:hAnsi="Arial" w:eastAsia="Arial" w:cs="Arial"/>
                <w:sz w:val="22"/>
                <w:szCs w:val="22"/>
                <w:bdr w:val="nil"/>
                <w:lang w:val="de-DE"/>
              </w:rPr>
              <w:t>§ </w:t>
            </w:r>
            <w:r>
              <w:rPr>
                <w:rFonts w:ascii="Arial" w:hAnsi="Arial" w:eastAsia="Arial" w:cs="Arial"/>
                <w:sz w:val="22"/>
                <w:szCs w:val="22"/>
                <w:bdr w:val="nil"/>
                <w:lang w:val="de-DE"/>
              </w:rPr>
              <w:t>14 der APE ausgeführt,</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der </w:t>
            </w:r>
            <w:r w:rsidR="0078680C">
              <w:rPr>
                <w:rFonts w:ascii="Arial" w:hAnsi="Arial" w:eastAsia="Arial" w:cs="Arial"/>
                <w:sz w:val="22"/>
                <w:szCs w:val="22"/>
                <w:bdr w:val="nil"/>
                <w:lang w:val="de-DE"/>
              </w:rPr>
              <w:t>gerichtlich</w:t>
            </w:r>
            <w:r>
              <w:rPr>
                <w:rFonts w:ascii="Arial" w:hAnsi="Arial" w:eastAsia="Arial" w:cs="Arial"/>
                <w:sz w:val="22"/>
                <w:szCs w:val="22"/>
                <w:bdr w:val="nil"/>
                <w:lang w:val="de-DE"/>
              </w:rPr>
              <w:t>en Überprüfung zuzuführen</w:t>
            </w:r>
            <w:r w:rsidR="0078680C">
              <w:rPr>
                <w:rFonts w:ascii="Arial" w:hAnsi="Arial" w:eastAsia="Arial" w:cs="Arial"/>
                <w:sz w:val="22"/>
                <w:szCs w:val="22"/>
                <w:bdr w:val="nil"/>
                <w:lang w:val="de-DE"/>
              </w:rPr>
              <w:t xml:space="preserve">. </w:t>
            </w:r>
          </w:p>
        </w:tc>
      </w:tr>
      <w:tr w:rsidRPr="00046FAE" w:rsidR="00D8651C" w:rsidTr="00C0685F" w14:paraId="68017E80" w14:textId="77777777">
        <w:trPr>
          <w:gridAfter w:val="1"/>
          <w:wAfter w:w="649" w:type="dxa"/>
        </w:trPr>
        <w:tc>
          <w:tcPr>
            <w:tcW w:w="0" w:type="auto"/>
          </w:tcPr>
          <w:p w:rsidRPr="006C29B1" w:rsidR="00DD016F" w:rsidP="004B73F0" w:rsidRDefault="00781974" w14:paraId="36EE1DFF" w14:textId="1FC57F5A">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w:t>
            </w:r>
            <w:r w:rsidR="00055F85">
              <w:rPr>
                <w:rFonts w:ascii="Arial" w:hAnsi="Arial" w:eastAsia="Arial" w:cs="Arial"/>
                <w:sz w:val="22"/>
                <w:szCs w:val="22"/>
                <w:bdr w:val="nil"/>
                <w:lang w:val="de-DE"/>
              </w:rPr>
              <w:t xml:space="preserve">die für Aus- und Fortbildung zuständigen </w:t>
            </w:r>
            <w:r w:rsidR="0078680C">
              <w:rPr>
                <w:rFonts w:ascii="Arial" w:hAnsi="Arial" w:eastAsia="Arial" w:cs="Arial"/>
                <w:sz w:val="22"/>
                <w:szCs w:val="22"/>
                <w:bdr w:val="nil"/>
                <w:lang w:val="de-DE"/>
              </w:rPr>
              <w:t>Organisationen</w:t>
            </w:r>
            <w:r w:rsidR="00055F85">
              <w:rPr>
                <w:rFonts w:ascii="Arial" w:hAnsi="Arial" w:eastAsia="Arial" w:cs="Arial"/>
                <w:sz w:val="22"/>
                <w:szCs w:val="22"/>
                <w:bdr w:val="nil"/>
                <w:lang w:val="de-DE"/>
              </w:rPr>
              <w:t xml:space="preserve"> dazu motivieren und dabei unterstützen,</w:t>
            </w:r>
            <w:r w:rsidR="0078680C">
              <w:rPr>
                <w:rFonts w:ascii="Arial" w:hAnsi="Arial" w:eastAsia="Arial" w:cs="Arial"/>
                <w:sz w:val="22"/>
                <w:szCs w:val="22"/>
                <w:bdr w:val="nil"/>
                <w:lang w:val="de-DE"/>
              </w:rPr>
              <w:t xml:space="preserve"> Einführungs- und Fortbildungskurse zum Thema Gleich</w:t>
            </w:r>
            <w:r w:rsidR="00EB5612">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und Nichtdiskriminierung zu entwickeln und durchzuführen. </w:t>
            </w:r>
            <w:r w:rsidR="00055F85">
              <w:rPr>
                <w:rFonts w:ascii="Arial" w:hAnsi="Arial" w:eastAsia="Arial" w:cs="Arial"/>
                <w:sz w:val="22"/>
                <w:szCs w:val="22"/>
                <w:bdr w:val="nil"/>
                <w:lang w:val="de-DE"/>
              </w:rPr>
              <w:t>Zu den w</w:t>
            </w:r>
            <w:r w:rsidR="0078680C">
              <w:rPr>
                <w:rFonts w:ascii="Arial" w:hAnsi="Arial" w:eastAsia="Arial" w:cs="Arial"/>
                <w:sz w:val="22"/>
                <w:szCs w:val="22"/>
                <w:bdr w:val="nil"/>
                <w:lang w:val="de-DE"/>
              </w:rPr>
              <w:t>ichtig</w:t>
            </w:r>
            <w:r w:rsidR="00055F85">
              <w:rPr>
                <w:rFonts w:ascii="Arial" w:hAnsi="Arial" w:eastAsia="Arial" w:cs="Arial"/>
                <w:sz w:val="22"/>
                <w:szCs w:val="22"/>
                <w:bdr w:val="nil"/>
                <w:lang w:val="de-DE"/>
              </w:rPr>
              <w:t>sten</w:t>
            </w:r>
            <w:r w:rsidR="0078680C">
              <w:rPr>
                <w:rFonts w:ascii="Arial" w:hAnsi="Arial" w:eastAsia="Arial" w:cs="Arial"/>
                <w:sz w:val="22"/>
                <w:szCs w:val="22"/>
                <w:bdr w:val="nil"/>
                <w:lang w:val="de-DE"/>
              </w:rPr>
              <w:t xml:space="preserve"> Zielgruppen sollten Politiker, leitende </w:t>
            </w:r>
            <w:r w:rsidR="00055F85">
              <w:rPr>
                <w:rFonts w:ascii="Arial" w:hAnsi="Arial" w:eastAsia="Arial" w:cs="Arial"/>
                <w:sz w:val="22"/>
                <w:szCs w:val="22"/>
                <w:bdr w:val="nil"/>
                <w:lang w:val="de-DE"/>
              </w:rPr>
              <w:t xml:space="preserve">Beamte </w:t>
            </w:r>
            <w:r w:rsidR="0078680C">
              <w:rPr>
                <w:rFonts w:ascii="Arial" w:hAnsi="Arial" w:eastAsia="Arial" w:cs="Arial"/>
                <w:sz w:val="22"/>
                <w:szCs w:val="22"/>
                <w:bdr w:val="nil"/>
                <w:lang w:val="de-DE"/>
              </w:rPr>
              <w:t>und andere Entscheidungsträger, Arbeitgeber, Personal</w:t>
            </w:r>
            <w:r w:rsidR="00055F85">
              <w:rPr>
                <w:rFonts w:ascii="Arial" w:hAnsi="Arial" w:eastAsia="Arial" w:cs="Arial"/>
                <w:sz w:val="22"/>
                <w:szCs w:val="22"/>
                <w:bdr w:val="nil"/>
                <w:lang w:val="de-DE"/>
              </w:rPr>
              <w:t>manager</w:t>
            </w:r>
            <w:r w:rsidR="0078680C">
              <w:rPr>
                <w:rFonts w:ascii="Arial" w:hAnsi="Arial" w:eastAsia="Arial" w:cs="Arial"/>
                <w:sz w:val="22"/>
                <w:szCs w:val="22"/>
                <w:bdr w:val="nil"/>
                <w:lang w:val="de-DE"/>
              </w:rPr>
              <w:t xml:space="preserve">, Gewerkschaften, die Justiz, andere </w:t>
            </w:r>
            <w:r w:rsidR="00055F85">
              <w:rPr>
                <w:rFonts w:ascii="Arial" w:hAnsi="Arial" w:eastAsia="Arial" w:cs="Arial"/>
                <w:sz w:val="22"/>
                <w:szCs w:val="22"/>
                <w:bdr w:val="nil"/>
                <w:lang w:val="de-DE"/>
              </w:rPr>
              <w:t>Juristen</w:t>
            </w:r>
            <w:r w:rsidR="0078680C">
              <w:rPr>
                <w:rFonts w:ascii="Arial" w:hAnsi="Arial" w:eastAsia="Arial" w:cs="Arial"/>
                <w:sz w:val="22"/>
                <w:szCs w:val="22"/>
                <w:bdr w:val="nil"/>
                <w:lang w:val="de-DE"/>
              </w:rPr>
              <w:t>, die Polizei, Medienvertreter</w:t>
            </w:r>
            <w:r w:rsidR="00055F85">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Pädagogen, Unternehmen und Dienstleister </w:t>
            </w:r>
            <w:r w:rsidR="00055F85">
              <w:rPr>
                <w:rFonts w:ascii="Arial" w:hAnsi="Arial" w:eastAsia="Arial" w:cs="Arial"/>
                <w:sz w:val="22"/>
                <w:szCs w:val="22"/>
                <w:bdr w:val="nil"/>
                <w:lang w:val="de-DE"/>
              </w:rPr>
              <w:t>gehören</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können auch selbst </w:t>
            </w:r>
            <w:r w:rsidR="00055F85">
              <w:rPr>
                <w:rFonts w:ascii="Arial" w:hAnsi="Arial" w:eastAsia="Arial" w:cs="Arial"/>
                <w:sz w:val="22"/>
                <w:szCs w:val="22"/>
                <w:bdr w:val="nil"/>
                <w:lang w:val="de-DE"/>
              </w:rPr>
              <w:t xml:space="preserve">solche </w:t>
            </w:r>
            <w:r w:rsidR="0078680C">
              <w:rPr>
                <w:rFonts w:ascii="Arial" w:hAnsi="Arial" w:eastAsia="Arial" w:cs="Arial"/>
                <w:sz w:val="22"/>
                <w:szCs w:val="22"/>
                <w:bdr w:val="nil"/>
                <w:lang w:val="de-DE"/>
              </w:rPr>
              <w:t>Schulungen anbieten, vor allem wenn es keine</w:t>
            </w:r>
            <w:r w:rsidR="00055F85">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anderen Anbieter gibt. </w:t>
            </w:r>
          </w:p>
        </w:tc>
      </w:tr>
      <w:tr w:rsidRPr="00046FAE" w:rsidR="00D8651C" w:rsidTr="00C0685F" w14:paraId="7E663705" w14:textId="77777777">
        <w:trPr>
          <w:gridAfter w:val="1"/>
          <w:wAfter w:w="649" w:type="dxa"/>
        </w:trPr>
        <w:tc>
          <w:tcPr>
            <w:tcW w:w="0" w:type="auto"/>
          </w:tcPr>
          <w:p w:rsidRPr="006C29B1" w:rsidR="00DD016F" w:rsidP="004B73F0" w:rsidRDefault="0053601B" w14:paraId="1C5EDD8D" w14:textId="68D5CEEE">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sidRPr="0053601B">
              <w:rPr>
                <w:rFonts w:ascii="Arial" w:hAnsi="Arial" w:eastAsia="Arial" w:cs="Arial"/>
                <w:sz w:val="22"/>
                <w:szCs w:val="22"/>
                <w:bdr w:val="nil"/>
                <w:lang w:val="de-DE"/>
              </w:rPr>
              <w:t xml:space="preserve">Um wirklich etwas zu bewirken, sollten </w:t>
            </w:r>
            <w:r w:rsidR="008F4296">
              <w:rPr>
                <w:rFonts w:ascii="Arial" w:hAnsi="Arial" w:eastAsia="Arial" w:cs="Arial"/>
                <w:sz w:val="22"/>
                <w:szCs w:val="22"/>
                <w:bdr w:val="nil"/>
                <w:lang w:val="de-DE"/>
              </w:rPr>
              <w:t>Gleichheit</w:t>
            </w:r>
            <w:r w:rsidRPr="0053601B">
              <w:rPr>
                <w:rFonts w:ascii="Arial" w:hAnsi="Arial" w:eastAsia="Arial" w:cs="Arial"/>
                <w:sz w:val="22"/>
                <w:szCs w:val="22"/>
                <w:bdr w:val="nil"/>
                <w:lang w:val="de-DE"/>
              </w:rPr>
              <w:t xml:space="preserve">sstellen ihre Arbeit nicht mit </w:t>
            </w:r>
            <w:r w:rsidR="00F90CB2">
              <w:rPr>
                <w:rFonts w:ascii="Arial" w:hAnsi="Arial" w:eastAsia="Arial" w:cs="Arial"/>
                <w:sz w:val="22"/>
                <w:szCs w:val="22"/>
                <w:bdr w:val="nil"/>
                <w:lang w:val="de-DE"/>
              </w:rPr>
              <w:t xml:space="preserve">dem Geben von </w:t>
            </w:r>
            <w:r w:rsidR="0078680C">
              <w:rPr>
                <w:rFonts w:ascii="Arial" w:hAnsi="Arial" w:eastAsia="Arial" w:cs="Arial"/>
                <w:sz w:val="22"/>
                <w:szCs w:val="22"/>
                <w:bdr w:val="nil"/>
                <w:lang w:val="de-DE"/>
              </w:rPr>
              <w:t>Empfehlungen be</w:t>
            </w:r>
            <w:r w:rsidR="00F90CB2">
              <w:rPr>
                <w:rFonts w:ascii="Arial" w:hAnsi="Arial" w:eastAsia="Arial" w:cs="Arial"/>
                <w:sz w:val="22"/>
                <w:szCs w:val="22"/>
                <w:bdr w:val="nil"/>
                <w:lang w:val="de-DE"/>
              </w:rPr>
              <w:t>enden</w:t>
            </w:r>
            <w:r w:rsidR="0078680C">
              <w:rPr>
                <w:rFonts w:ascii="Arial" w:hAnsi="Arial" w:eastAsia="Arial" w:cs="Arial"/>
                <w:sz w:val="22"/>
                <w:szCs w:val="22"/>
                <w:bdr w:val="nil"/>
                <w:lang w:val="de-DE"/>
              </w:rPr>
              <w:t xml:space="preserve">, sondern auch deren Umsetzung überwachen. In vielen Fällen </w:t>
            </w:r>
            <w:r w:rsidR="00F90CB2">
              <w:rPr>
                <w:rFonts w:ascii="Arial" w:hAnsi="Arial" w:eastAsia="Arial" w:cs="Arial"/>
                <w:sz w:val="22"/>
                <w:szCs w:val="22"/>
                <w:bdr w:val="nil"/>
                <w:lang w:val="de-DE"/>
              </w:rPr>
              <w:t xml:space="preserve">wird </w:t>
            </w:r>
            <w:r w:rsidR="0078680C">
              <w:rPr>
                <w:rFonts w:ascii="Arial" w:hAnsi="Arial" w:eastAsia="Arial" w:cs="Arial"/>
                <w:sz w:val="22"/>
                <w:szCs w:val="22"/>
                <w:bdr w:val="nil"/>
                <w:lang w:val="de-DE"/>
              </w:rPr>
              <w:t>es hilfreich</w:t>
            </w:r>
            <w:r w:rsidR="00F90CB2">
              <w:rPr>
                <w:rFonts w:ascii="Arial" w:hAnsi="Arial" w:eastAsia="Arial" w:cs="Arial"/>
                <w:sz w:val="22"/>
                <w:szCs w:val="22"/>
                <w:bdr w:val="nil"/>
                <w:lang w:val="de-DE"/>
              </w:rPr>
              <w:t xml:space="preserve"> sein</w:t>
            </w:r>
            <w:r w:rsidR="0078680C">
              <w:rPr>
                <w:rFonts w:ascii="Arial" w:hAnsi="Arial" w:eastAsia="Arial" w:cs="Arial"/>
                <w:sz w:val="22"/>
                <w:szCs w:val="22"/>
                <w:bdr w:val="nil"/>
                <w:lang w:val="de-DE"/>
              </w:rPr>
              <w:t xml:space="preserve">, </w:t>
            </w:r>
            <w:r w:rsidR="00F90CB2">
              <w:rPr>
                <w:rFonts w:ascii="Arial" w:hAnsi="Arial" w:eastAsia="Arial" w:cs="Arial"/>
                <w:sz w:val="22"/>
                <w:szCs w:val="22"/>
                <w:bdr w:val="nil"/>
                <w:lang w:val="de-DE"/>
              </w:rPr>
              <w:t xml:space="preserve">mit denen </w:t>
            </w:r>
            <w:r w:rsidR="0078680C">
              <w:rPr>
                <w:rFonts w:ascii="Arial" w:hAnsi="Arial" w:eastAsia="Arial" w:cs="Arial"/>
                <w:sz w:val="22"/>
                <w:szCs w:val="22"/>
                <w:bdr w:val="nil"/>
                <w:lang w:val="de-DE"/>
              </w:rPr>
              <w:t xml:space="preserve">einen Dialog </w:t>
            </w:r>
            <w:r w:rsidR="00F90CB2">
              <w:rPr>
                <w:rFonts w:ascii="Arial" w:hAnsi="Arial" w:eastAsia="Arial" w:cs="Arial"/>
                <w:sz w:val="22"/>
                <w:szCs w:val="22"/>
                <w:bdr w:val="nil"/>
                <w:lang w:val="de-DE"/>
              </w:rPr>
              <w:t>aufzunehmen</w:t>
            </w:r>
            <w:r w:rsidR="0078680C">
              <w:rPr>
                <w:rFonts w:ascii="Arial" w:hAnsi="Arial" w:eastAsia="Arial" w:cs="Arial"/>
                <w:sz w:val="22"/>
                <w:szCs w:val="22"/>
                <w:bdr w:val="nil"/>
                <w:lang w:val="de-DE"/>
              </w:rPr>
              <w:t xml:space="preserve">, an die sich die Empfehlungen richten. </w:t>
            </w:r>
            <w:r w:rsidR="00F90CB2">
              <w:rPr>
                <w:rFonts w:ascii="Arial" w:hAnsi="Arial" w:eastAsia="Arial" w:cs="Arial"/>
                <w:sz w:val="22"/>
                <w:szCs w:val="22"/>
                <w:bdr w:val="nil"/>
                <w:lang w:val="de-DE"/>
              </w:rPr>
              <w:t>Im Rahmen dieses</w:t>
            </w:r>
            <w:r w:rsidR="0078680C">
              <w:rPr>
                <w:rFonts w:ascii="Arial" w:hAnsi="Arial" w:eastAsia="Arial" w:cs="Arial"/>
                <w:sz w:val="22"/>
                <w:szCs w:val="22"/>
                <w:bdr w:val="nil"/>
                <w:lang w:val="de-DE"/>
              </w:rPr>
              <w:t xml:space="preserve"> Dialog</w:t>
            </w:r>
            <w:r w:rsidR="00F90CB2">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können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ihre Empfehlungen erläutern, </w:t>
            </w:r>
            <w:r w:rsidR="008D71B0">
              <w:rPr>
                <w:rFonts w:ascii="Arial" w:hAnsi="Arial" w:eastAsia="Arial" w:cs="Arial"/>
                <w:sz w:val="22"/>
                <w:szCs w:val="22"/>
                <w:bdr w:val="nil"/>
                <w:lang w:val="de-DE"/>
              </w:rPr>
              <w:t>auf</w:t>
            </w:r>
            <w:r w:rsidR="0078680C">
              <w:rPr>
                <w:rFonts w:ascii="Arial" w:hAnsi="Arial" w:eastAsia="Arial" w:cs="Arial"/>
                <w:sz w:val="22"/>
                <w:szCs w:val="22"/>
                <w:bdr w:val="nil"/>
                <w:lang w:val="de-DE"/>
              </w:rPr>
              <w:t>zeigen</w:t>
            </w:r>
            <w:r w:rsidR="008D71B0">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wie man diese umsetzen k</w:t>
            </w:r>
            <w:r w:rsidR="00F90CB2">
              <w:rPr>
                <w:rFonts w:ascii="Arial" w:hAnsi="Arial" w:eastAsia="Arial" w:cs="Arial"/>
                <w:sz w:val="22"/>
                <w:szCs w:val="22"/>
                <w:bdr w:val="nil"/>
                <w:lang w:val="de-DE"/>
              </w:rPr>
              <w:t>a</w:t>
            </w:r>
            <w:r w:rsidR="0078680C">
              <w:rPr>
                <w:rFonts w:ascii="Arial" w:hAnsi="Arial" w:eastAsia="Arial" w:cs="Arial"/>
                <w:sz w:val="22"/>
                <w:szCs w:val="22"/>
                <w:bdr w:val="nil"/>
                <w:lang w:val="de-DE"/>
              </w:rPr>
              <w:t>nn</w:t>
            </w:r>
            <w:r w:rsidR="008D71B0">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und die </w:t>
            </w:r>
            <w:r w:rsidR="008D71B0">
              <w:rPr>
                <w:rFonts w:ascii="Arial" w:hAnsi="Arial" w:eastAsia="Arial" w:cs="Arial"/>
                <w:sz w:val="22"/>
                <w:szCs w:val="22"/>
                <w:bdr w:val="nil"/>
                <w:lang w:val="de-DE"/>
              </w:rPr>
              <w:t xml:space="preserve">verantwortlichen </w:t>
            </w:r>
            <w:r w:rsidR="00F90CB2">
              <w:rPr>
                <w:rFonts w:ascii="Arial" w:hAnsi="Arial" w:eastAsia="Arial" w:cs="Arial"/>
                <w:sz w:val="22"/>
                <w:szCs w:val="22"/>
                <w:bdr w:val="nil"/>
                <w:lang w:val="de-DE"/>
              </w:rPr>
              <w:t xml:space="preserve">Personen </w:t>
            </w:r>
            <w:r w:rsidR="008D71B0">
              <w:rPr>
                <w:rFonts w:ascii="Arial" w:hAnsi="Arial" w:eastAsia="Arial" w:cs="Arial"/>
                <w:sz w:val="22"/>
                <w:szCs w:val="22"/>
                <w:bdr w:val="nil"/>
                <w:lang w:val="de-DE"/>
              </w:rPr>
              <w:t xml:space="preserve">dazu </w:t>
            </w:r>
            <w:r w:rsidR="00F90CB2">
              <w:rPr>
                <w:rFonts w:ascii="Arial" w:hAnsi="Arial" w:eastAsia="Arial" w:cs="Arial"/>
                <w:sz w:val="22"/>
                <w:szCs w:val="22"/>
                <w:bdr w:val="nil"/>
                <w:lang w:val="de-DE"/>
              </w:rPr>
              <w:t>motivieren, die erforderlichen</w:t>
            </w:r>
            <w:r w:rsidR="0078680C">
              <w:rPr>
                <w:rFonts w:ascii="Arial" w:hAnsi="Arial" w:eastAsia="Arial" w:cs="Arial"/>
                <w:sz w:val="22"/>
                <w:szCs w:val="22"/>
                <w:bdr w:val="nil"/>
                <w:lang w:val="de-DE"/>
              </w:rPr>
              <w:t xml:space="preserve"> Maßnahmen zu</w:t>
            </w:r>
            <w:r w:rsidR="00F90CB2">
              <w:rPr>
                <w:rFonts w:ascii="Arial" w:hAnsi="Arial" w:eastAsia="Arial" w:cs="Arial"/>
                <w:sz w:val="22"/>
                <w:szCs w:val="22"/>
                <w:bdr w:val="nil"/>
                <w:lang w:val="de-DE"/>
              </w:rPr>
              <w:t xml:space="preserve"> ergreifen</w:t>
            </w:r>
            <w:r w:rsidR="0078680C">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die Fortschritte </w:t>
            </w:r>
            <w:r w:rsidR="00F90CB2">
              <w:rPr>
                <w:rFonts w:ascii="Arial" w:hAnsi="Arial" w:eastAsia="Arial" w:cs="Arial"/>
                <w:sz w:val="22"/>
                <w:szCs w:val="22"/>
                <w:bdr w:val="nil"/>
                <w:lang w:val="de-DE"/>
              </w:rPr>
              <w:t xml:space="preserve">bei </w:t>
            </w:r>
            <w:r w:rsidR="0078680C">
              <w:rPr>
                <w:rFonts w:ascii="Arial" w:hAnsi="Arial" w:eastAsia="Arial" w:cs="Arial"/>
                <w:sz w:val="22"/>
                <w:szCs w:val="22"/>
                <w:bdr w:val="nil"/>
                <w:lang w:val="de-DE"/>
              </w:rPr>
              <w:t xml:space="preserve">der Umsetzung ihrer Empfehlungen verfolgen und regelmäßig eine Übersicht ihres Umsetzungsstandes veröffentlichen. </w:t>
            </w:r>
          </w:p>
        </w:tc>
      </w:tr>
      <w:tr w:rsidRPr="00046FAE" w:rsidR="00D8651C" w:rsidTr="00C0685F" w14:paraId="7FE1ED8D" w14:textId="77777777">
        <w:trPr>
          <w:gridAfter w:val="1"/>
          <w:wAfter w:w="649" w:type="dxa"/>
        </w:trPr>
        <w:tc>
          <w:tcPr>
            <w:tcW w:w="0" w:type="auto"/>
          </w:tcPr>
          <w:p w:rsidRPr="00877D49" w:rsidR="004B73F0" w:rsidP="004B73F0" w:rsidRDefault="00781974" w14:paraId="3259C1FD" w14:textId="5C24198B">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w:t>
            </w:r>
            <w:r w:rsidR="00F90CB2">
              <w:rPr>
                <w:rFonts w:ascii="Arial" w:hAnsi="Arial" w:eastAsia="Arial" w:cs="Arial"/>
                <w:sz w:val="22"/>
                <w:szCs w:val="22"/>
                <w:bdr w:val="nil"/>
                <w:lang w:val="de-DE"/>
              </w:rPr>
              <w:t>außerdem</w:t>
            </w:r>
            <w:r w:rsidRPr="00F90CB2" w:rsidR="00F90CB2">
              <w:rPr>
                <w:rFonts w:ascii="Arial" w:hAnsi="Arial" w:eastAsia="Arial" w:cs="Arial"/>
                <w:sz w:val="22"/>
                <w:szCs w:val="22"/>
                <w:bdr w:val="nil"/>
                <w:lang w:val="de-DE"/>
              </w:rPr>
              <w:t xml:space="preserve"> dazu beitragen, die Umsetzung einschlägige</w:t>
            </w:r>
            <w:r w:rsidR="00F90CB2">
              <w:rPr>
                <w:rFonts w:ascii="Arial" w:hAnsi="Arial" w:eastAsia="Arial" w:cs="Arial"/>
                <w:sz w:val="22"/>
                <w:szCs w:val="22"/>
                <w:bdr w:val="nil"/>
                <w:lang w:val="de-DE"/>
              </w:rPr>
              <w:t>r</w:t>
            </w:r>
            <w:r w:rsidRPr="00F90CB2" w:rsidR="00F90CB2">
              <w:rPr>
                <w:rFonts w:ascii="Arial" w:hAnsi="Arial" w:eastAsia="Arial" w:cs="Arial"/>
                <w:sz w:val="22"/>
                <w:szCs w:val="22"/>
                <w:bdr w:val="nil"/>
                <w:lang w:val="de-DE"/>
              </w:rPr>
              <w:t xml:space="preserve"> Empfehlungen anderer </w:t>
            </w:r>
            <w:r w:rsidR="00F90CB2">
              <w:rPr>
                <w:rFonts w:ascii="Arial" w:hAnsi="Arial" w:eastAsia="Arial" w:cs="Arial"/>
                <w:sz w:val="22"/>
                <w:szCs w:val="22"/>
                <w:bdr w:val="nil"/>
                <w:lang w:val="de-DE"/>
              </w:rPr>
              <w:t>vergleichbarer</w:t>
            </w:r>
            <w:r w:rsidRPr="00F90CB2" w:rsidR="00F90CB2">
              <w:rPr>
                <w:rFonts w:ascii="Arial" w:hAnsi="Arial" w:eastAsia="Arial" w:cs="Arial"/>
                <w:sz w:val="22"/>
                <w:szCs w:val="22"/>
                <w:bdr w:val="nil"/>
                <w:lang w:val="de-DE"/>
              </w:rPr>
              <w:t xml:space="preserve"> Stellen zu verfolgen und zu überwachen</w:t>
            </w:r>
            <w:r w:rsidRPr="00F90CB2" w:rsidDel="00F90CB2" w:rsidR="00F90CB2">
              <w:rPr>
                <w:rFonts w:ascii="Arial" w:hAnsi="Arial" w:eastAsia="Arial" w:cs="Arial"/>
                <w:sz w:val="22"/>
                <w:szCs w:val="22"/>
                <w:bdr w:val="nil"/>
                <w:lang w:val="de-DE"/>
              </w:rPr>
              <w:t xml:space="preserve"> </w:t>
            </w:r>
            <w:r w:rsidR="0078680C">
              <w:rPr>
                <w:rFonts w:ascii="Arial" w:hAnsi="Arial" w:eastAsia="Arial" w:cs="Arial"/>
                <w:sz w:val="22"/>
                <w:szCs w:val="22"/>
                <w:bdr w:val="nil"/>
                <w:lang w:val="de-DE"/>
              </w:rPr>
              <w:t xml:space="preserve">(siehe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_Ref474139265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13</w:t>
            </w:r>
            <w:r w:rsidRPr="006353CB" w:rsidR="0078680C">
              <w:rPr>
                <w:rFonts w:ascii="Arial" w:hAnsi="Arial" w:cs="Arial"/>
                <w:sz w:val="22"/>
                <w:szCs w:val="22"/>
                <w:lang w:val="en-GB"/>
              </w:rPr>
              <w:fldChar w:fldCharType="end"/>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_Ref474139281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n</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und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_Ref474139274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o</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w:t>
            </w:r>
          </w:p>
          <w:p w:rsidRPr="006C29B1" w:rsidR="00DD016F" w:rsidP="004B73F0" w:rsidRDefault="0078680C" w14:paraId="3873D476" w14:textId="65368A58">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Eine Reihe zwischenstaatlicher Organisationen, u.a. die Vereinten Nationen, der Europarat und die Organisation für Sicherheit und Zusammenarbeit in Europa und d</w:t>
            </w:r>
            <w:r w:rsidR="00F90CB2">
              <w:rPr>
                <w:rFonts w:ascii="Arial" w:hAnsi="Arial" w:eastAsia="Arial" w:cs="Arial"/>
                <w:sz w:val="22"/>
                <w:szCs w:val="22"/>
                <w:bdr w:val="nil"/>
                <w:lang w:val="de-DE"/>
              </w:rPr>
              <w:t>ie ihnen zugeordneten</w:t>
            </w:r>
            <w:r>
              <w:rPr>
                <w:rFonts w:ascii="Arial" w:hAnsi="Arial" w:eastAsia="Arial" w:cs="Arial"/>
                <w:sz w:val="22"/>
                <w:szCs w:val="22"/>
                <w:bdr w:val="nil"/>
                <w:lang w:val="de-DE"/>
              </w:rPr>
              <w:t xml:space="preserve"> Gerichtshöfe, Kommissionen und Ausschüsse, haben ein Mandat, das die Förderung von Gleichheit und die </w:t>
            </w:r>
            <w:r w:rsidR="00F90CB2">
              <w:rPr>
                <w:rFonts w:ascii="Arial" w:hAnsi="Arial" w:eastAsia="Arial" w:cs="Arial"/>
                <w:sz w:val="22"/>
                <w:szCs w:val="22"/>
                <w:bdr w:val="nil"/>
                <w:lang w:val="de-DE"/>
              </w:rPr>
              <w:t xml:space="preserve">Prävention </w:t>
            </w:r>
            <w:r>
              <w:rPr>
                <w:rFonts w:ascii="Arial" w:hAnsi="Arial" w:eastAsia="Arial" w:cs="Arial"/>
                <w:sz w:val="22"/>
                <w:szCs w:val="22"/>
                <w:bdr w:val="nil"/>
                <w:lang w:val="de-DE"/>
              </w:rPr>
              <w:t xml:space="preserve">und Bekämpfung von Diskriminierung und Intoleranz einschließt. </w:t>
            </w:r>
            <w:r w:rsidR="00F90CB2">
              <w:rPr>
                <w:rFonts w:ascii="Arial" w:hAnsi="Arial" w:eastAsia="Arial" w:cs="Arial"/>
                <w:sz w:val="22"/>
                <w:szCs w:val="22"/>
                <w:bdr w:val="nil"/>
                <w:lang w:val="de-DE"/>
              </w:rPr>
              <w:t xml:space="preserve">Für Gleichheitsstellen ist es von großem Vorteil, </w:t>
            </w:r>
            <w:r>
              <w:rPr>
                <w:rFonts w:ascii="Arial" w:hAnsi="Arial" w:eastAsia="Arial" w:cs="Arial"/>
                <w:sz w:val="22"/>
                <w:szCs w:val="22"/>
                <w:bdr w:val="nil"/>
                <w:lang w:val="de-DE"/>
              </w:rPr>
              <w:t xml:space="preserve">mit </w:t>
            </w:r>
            <w:r w:rsidR="00F90CB2">
              <w:rPr>
                <w:rFonts w:ascii="Arial" w:hAnsi="Arial" w:eastAsia="Arial" w:cs="Arial"/>
                <w:sz w:val="22"/>
                <w:szCs w:val="22"/>
                <w:bdr w:val="nil"/>
                <w:lang w:val="de-DE"/>
              </w:rPr>
              <w:t xml:space="preserve">diesen </w:t>
            </w:r>
            <w:r>
              <w:rPr>
                <w:rFonts w:ascii="Arial" w:hAnsi="Arial" w:eastAsia="Arial" w:cs="Arial"/>
                <w:sz w:val="22"/>
                <w:szCs w:val="22"/>
                <w:bdr w:val="nil"/>
                <w:lang w:val="de-DE"/>
              </w:rPr>
              <w:t xml:space="preserve">zwischenstaatlichen Organisationen </w:t>
            </w:r>
            <w:r w:rsidR="00F90CB2">
              <w:rPr>
                <w:rFonts w:ascii="Arial" w:hAnsi="Arial" w:eastAsia="Arial" w:cs="Arial"/>
                <w:sz w:val="22"/>
                <w:szCs w:val="22"/>
                <w:bdr w:val="nil"/>
                <w:lang w:val="de-DE"/>
              </w:rPr>
              <w:t>eng zusammen zu arbeiten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die Ratifizierung und Umsetzung relevanter internationaler Übereinkommen fördern und Wissen über die </w:t>
            </w:r>
            <w:r w:rsidR="00F90CB2">
              <w:rPr>
                <w:rFonts w:ascii="Arial" w:hAnsi="Arial" w:eastAsia="Arial" w:cs="Arial"/>
                <w:sz w:val="22"/>
                <w:szCs w:val="22"/>
                <w:bdr w:val="nil"/>
                <w:lang w:val="de-DE"/>
              </w:rPr>
              <w:t>Normen</w:t>
            </w:r>
            <w:r>
              <w:rPr>
                <w:rFonts w:ascii="Arial" w:hAnsi="Arial" w:eastAsia="Arial" w:cs="Arial"/>
                <w:sz w:val="22"/>
                <w:szCs w:val="22"/>
                <w:bdr w:val="nil"/>
                <w:lang w:val="de-DE"/>
              </w:rPr>
              <w:t>, die Rechtsprechung, Berichte und Empfehlungen, die von zwischenstaatlichen Organisationen stammen, verbreiten. D</w:t>
            </w:r>
            <w:r w:rsidR="005A5658">
              <w:rPr>
                <w:rFonts w:ascii="Arial" w:hAnsi="Arial" w:eastAsia="Arial" w:cs="Arial"/>
                <w:sz w:val="22"/>
                <w:szCs w:val="22"/>
                <w:bdr w:val="nil"/>
                <w:lang w:val="de-DE"/>
              </w:rPr>
              <w:t>ie Verknüpfung</w:t>
            </w:r>
            <w:r>
              <w:rPr>
                <w:rFonts w:ascii="Arial" w:hAnsi="Arial" w:eastAsia="Arial" w:cs="Arial"/>
                <w:sz w:val="22"/>
                <w:szCs w:val="22"/>
                <w:bdr w:val="nil"/>
                <w:lang w:val="de-DE"/>
              </w:rPr>
              <w:t xml:space="preserve"> </w:t>
            </w:r>
            <w:r w:rsidR="005A5658">
              <w:rPr>
                <w:rFonts w:ascii="Arial" w:hAnsi="Arial" w:eastAsia="Arial" w:cs="Arial"/>
                <w:sz w:val="22"/>
                <w:szCs w:val="22"/>
                <w:bdr w:val="nil"/>
                <w:lang w:val="de-DE"/>
              </w:rPr>
              <w:t>der Arbeit der Gleichheitsstelle</w:t>
            </w:r>
            <w:r w:rsidR="00F90CB2">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mit </w:t>
            </w:r>
            <w:r w:rsidR="00F90CB2">
              <w:rPr>
                <w:rFonts w:ascii="Arial" w:hAnsi="Arial" w:eastAsia="Arial" w:cs="Arial"/>
                <w:sz w:val="22"/>
                <w:szCs w:val="22"/>
                <w:bdr w:val="nil"/>
                <w:lang w:val="de-DE"/>
              </w:rPr>
              <w:t xml:space="preserve">dem </w:t>
            </w:r>
            <w:r>
              <w:rPr>
                <w:rFonts w:ascii="Arial" w:hAnsi="Arial" w:eastAsia="Arial" w:cs="Arial"/>
                <w:sz w:val="22"/>
                <w:szCs w:val="22"/>
                <w:bdr w:val="nil"/>
                <w:lang w:val="de-DE"/>
              </w:rPr>
              <w:t>internationalen Rahmen erhöht die Legitimität und d</w:t>
            </w:r>
            <w:r w:rsidR="00F90CB2">
              <w:rPr>
                <w:rFonts w:ascii="Arial" w:hAnsi="Arial" w:eastAsia="Arial" w:cs="Arial"/>
                <w:sz w:val="22"/>
                <w:szCs w:val="22"/>
                <w:bdr w:val="nil"/>
                <w:lang w:val="de-DE"/>
              </w:rPr>
              <w:t xml:space="preserve">ie Wirkung </w:t>
            </w:r>
            <w:r w:rsidR="005A5658">
              <w:rPr>
                <w:rFonts w:ascii="Arial" w:hAnsi="Arial" w:eastAsia="Arial" w:cs="Arial"/>
                <w:sz w:val="22"/>
                <w:szCs w:val="22"/>
                <w:bdr w:val="nil"/>
                <w:lang w:val="de-DE"/>
              </w:rPr>
              <w:t>ihrer</w:t>
            </w:r>
            <w:r>
              <w:rPr>
                <w:rFonts w:ascii="Arial" w:hAnsi="Arial" w:eastAsia="Arial" w:cs="Arial"/>
                <w:sz w:val="22"/>
                <w:szCs w:val="22"/>
                <w:bdr w:val="nil"/>
                <w:lang w:val="de-DE"/>
              </w:rPr>
              <w:t xml:space="preserve"> </w:t>
            </w:r>
            <w:r w:rsidR="005A5658">
              <w:rPr>
                <w:rFonts w:ascii="Arial" w:hAnsi="Arial" w:eastAsia="Arial" w:cs="Arial"/>
                <w:sz w:val="22"/>
                <w:szCs w:val="22"/>
                <w:bdr w:val="nil"/>
                <w:lang w:val="de-DE"/>
              </w:rPr>
              <w:t>Aktivitäten</w:t>
            </w:r>
            <w:r>
              <w:rPr>
                <w:rFonts w:ascii="Arial" w:hAnsi="Arial" w:eastAsia="Arial" w:cs="Arial"/>
                <w:sz w:val="22"/>
                <w:szCs w:val="22"/>
                <w:bdr w:val="nil"/>
                <w:lang w:val="de-DE"/>
              </w:rPr>
              <w:t xml:space="preserve">. </w:t>
            </w:r>
            <w:r w:rsidR="005A5658">
              <w:rPr>
                <w:rFonts w:ascii="Arial" w:hAnsi="Arial" w:eastAsia="Arial" w:cs="Arial"/>
                <w:sz w:val="22"/>
                <w:szCs w:val="22"/>
                <w:bdr w:val="nil"/>
                <w:lang w:val="de-DE"/>
              </w:rPr>
              <w:t>Wo notwendig</w:t>
            </w:r>
            <w:r>
              <w:rPr>
                <w:rFonts w:ascii="Arial" w:hAnsi="Arial" w:eastAsia="Arial" w:cs="Arial"/>
                <w:sz w:val="22"/>
                <w:szCs w:val="22"/>
                <w:bdr w:val="nil"/>
                <w:lang w:val="de-DE"/>
              </w:rPr>
              <w:t xml:space="preserve">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die Übersetzung </w:t>
            </w:r>
            <w:r w:rsidR="00F90CB2">
              <w:rPr>
                <w:rFonts w:ascii="Arial" w:hAnsi="Arial" w:eastAsia="Arial" w:cs="Arial"/>
                <w:sz w:val="22"/>
                <w:szCs w:val="22"/>
                <w:bdr w:val="nil"/>
                <w:lang w:val="de-DE"/>
              </w:rPr>
              <w:t xml:space="preserve">solcher </w:t>
            </w:r>
            <w:r>
              <w:rPr>
                <w:rFonts w:ascii="Arial" w:hAnsi="Arial" w:eastAsia="Arial" w:cs="Arial"/>
                <w:sz w:val="22"/>
                <w:szCs w:val="22"/>
                <w:bdr w:val="nil"/>
                <w:lang w:val="de-DE"/>
              </w:rPr>
              <w:t>Texte in die in ihrem Land ge</w:t>
            </w:r>
            <w:r w:rsidR="00F90CB2">
              <w:rPr>
                <w:rFonts w:ascii="Arial" w:hAnsi="Arial" w:eastAsia="Arial" w:cs="Arial"/>
                <w:sz w:val="22"/>
                <w:szCs w:val="22"/>
                <w:bdr w:val="nil"/>
                <w:lang w:val="de-DE"/>
              </w:rPr>
              <w:t>bräuchlichen</w:t>
            </w:r>
            <w:r w:rsidR="005A5658">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Sprachen fördern. </w:t>
            </w:r>
          </w:p>
          <w:p w:rsidRPr="006C29B1" w:rsidR="00DD016F" w:rsidP="004B73F0" w:rsidRDefault="00781974" w14:paraId="4EAA8CA1" w14:textId="006DED84">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sich am Monitoring, </w:t>
            </w:r>
            <w:r w:rsidR="00F90CB2">
              <w:rPr>
                <w:rFonts w:ascii="Arial" w:hAnsi="Arial" w:eastAsia="Arial" w:cs="Arial"/>
                <w:sz w:val="22"/>
                <w:szCs w:val="22"/>
                <w:bdr w:val="nil"/>
                <w:lang w:val="de-DE"/>
              </w:rPr>
              <w:t>den</w:t>
            </w:r>
            <w:r w:rsidR="0078680C">
              <w:rPr>
                <w:rFonts w:ascii="Arial" w:hAnsi="Arial" w:eastAsia="Arial" w:cs="Arial"/>
                <w:sz w:val="22"/>
                <w:szCs w:val="22"/>
                <w:bdr w:val="nil"/>
                <w:lang w:val="de-DE"/>
              </w:rPr>
              <w:t xml:space="preserve"> Beratung</w:t>
            </w:r>
            <w:r w:rsidR="00F90CB2">
              <w:rPr>
                <w:rFonts w:ascii="Arial" w:hAnsi="Arial" w:eastAsia="Arial" w:cs="Arial"/>
                <w:sz w:val="22"/>
                <w:szCs w:val="22"/>
                <w:bdr w:val="nil"/>
                <w:lang w:val="de-DE"/>
              </w:rPr>
              <w:t>-</w:t>
            </w:r>
            <w:r w:rsidR="0078680C">
              <w:rPr>
                <w:rFonts w:ascii="Arial" w:hAnsi="Arial" w:eastAsia="Arial" w:cs="Arial"/>
                <w:sz w:val="22"/>
                <w:szCs w:val="22"/>
                <w:bdr w:val="nil"/>
                <w:lang w:val="de-DE"/>
              </w:rPr>
              <w:t xml:space="preserve"> und den Kooperations</w:t>
            </w:r>
            <w:r w:rsidR="005A5658">
              <w:rPr>
                <w:rFonts w:ascii="Arial" w:hAnsi="Arial" w:eastAsia="Arial" w:cs="Arial"/>
                <w:sz w:val="22"/>
                <w:szCs w:val="22"/>
                <w:bdr w:val="nil"/>
                <w:lang w:val="de-DE"/>
              </w:rPr>
              <w:t>aktivitäten</w:t>
            </w:r>
            <w:r w:rsidR="0078680C">
              <w:rPr>
                <w:rFonts w:ascii="Arial" w:hAnsi="Arial" w:eastAsia="Arial" w:cs="Arial"/>
                <w:sz w:val="22"/>
                <w:szCs w:val="22"/>
                <w:bdr w:val="nil"/>
                <w:lang w:val="de-DE"/>
              </w:rPr>
              <w:t xml:space="preserve"> zwischenstaatlicher Organisationen beteiligen. Innerhalb dieses Rahmens sollten sie Informationen </w:t>
            </w:r>
            <w:r w:rsidR="00F90CB2">
              <w:rPr>
                <w:rFonts w:ascii="Arial" w:hAnsi="Arial" w:eastAsia="Arial" w:cs="Arial"/>
                <w:sz w:val="22"/>
                <w:szCs w:val="22"/>
                <w:bdr w:val="nil"/>
                <w:lang w:val="de-DE"/>
              </w:rPr>
              <w:t xml:space="preserve">bereitstellen </w:t>
            </w:r>
            <w:r w:rsidR="0078680C">
              <w:rPr>
                <w:rFonts w:ascii="Arial" w:hAnsi="Arial" w:eastAsia="Arial" w:cs="Arial"/>
                <w:sz w:val="22"/>
                <w:szCs w:val="22"/>
                <w:bdr w:val="nil"/>
                <w:lang w:val="de-DE"/>
              </w:rPr>
              <w:t xml:space="preserve">und Vorschläge für Empfehlungen unterbreiten. Dies ermöglicht </w:t>
            </w:r>
            <w:r w:rsidR="005A5658">
              <w:rPr>
                <w:rFonts w:ascii="Arial" w:hAnsi="Arial" w:eastAsia="Arial" w:cs="Arial"/>
                <w:sz w:val="22"/>
                <w:szCs w:val="22"/>
                <w:bdr w:val="nil"/>
                <w:lang w:val="de-DE"/>
              </w:rPr>
              <w:t xml:space="preserve">es </w:t>
            </w:r>
            <w:r w:rsidR="0078680C">
              <w:rPr>
                <w:rFonts w:ascii="Arial" w:hAnsi="Arial" w:eastAsia="Arial" w:cs="Arial"/>
                <w:sz w:val="22"/>
                <w:szCs w:val="22"/>
                <w:bdr w:val="nil"/>
                <w:lang w:val="de-DE"/>
              </w:rPr>
              <w:t xml:space="preserve">den zwischenstaatlichen Organisationen, </w:t>
            </w:r>
            <w:r w:rsidR="00F90CB2">
              <w:rPr>
                <w:rFonts w:ascii="Arial" w:hAnsi="Arial" w:eastAsia="Arial" w:cs="Arial"/>
                <w:sz w:val="22"/>
                <w:szCs w:val="22"/>
                <w:bdr w:val="nil"/>
                <w:lang w:val="de-DE"/>
              </w:rPr>
              <w:t>die Anliegen und das Fach</w:t>
            </w:r>
            <w:r w:rsidR="0078680C">
              <w:rPr>
                <w:rFonts w:ascii="Arial" w:hAnsi="Arial" w:eastAsia="Arial" w:cs="Arial"/>
                <w:sz w:val="22"/>
                <w:szCs w:val="22"/>
                <w:bdr w:val="nil"/>
                <w:lang w:val="de-DE"/>
              </w:rPr>
              <w:t xml:space="preserve">wissen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sidR="00F90CB2">
              <w:rPr>
                <w:rFonts w:ascii="Arial" w:hAnsi="Arial" w:eastAsia="Arial" w:cs="Arial"/>
                <w:sz w:val="22"/>
                <w:szCs w:val="22"/>
                <w:bdr w:val="nil"/>
                <w:lang w:val="de-DE"/>
              </w:rPr>
              <w:t>aufzugreifen</w:t>
            </w:r>
            <w:r w:rsidR="0078680C">
              <w:rPr>
                <w:rFonts w:ascii="Arial" w:hAnsi="Arial" w:eastAsia="Arial" w:cs="Arial"/>
                <w:sz w:val="22"/>
                <w:szCs w:val="22"/>
                <w:bdr w:val="nil"/>
                <w:lang w:val="de-DE"/>
              </w:rPr>
              <w:t xml:space="preserve">, ihre eigenen Empfehlungen auf diese </w:t>
            </w:r>
            <w:r w:rsidR="00F90CB2">
              <w:rPr>
                <w:rFonts w:ascii="Arial" w:hAnsi="Arial" w:eastAsia="Arial" w:cs="Arial"/>
                <w:sz w:val="22"/>
                <w:szCs w:val="22"/>
                <w:bdr w:val="nil"/>
                <w:lang w:val="de-DE"/>
              </w:rPr>
              <w:t xml:space="preserve">Anliegen </w:t>
            </w:r>
            <w:r w:rsidR="0078680C">
              <w:rPr>
                <w:rFonts w:ascii="Arial" w:hAnsi="Arial" w:eastAsia="Arial" w:cs="Arial"/>
                <w:sz w:val="22"/>
                <w:szCs w:val="22"/>
                <w:bdr w:val="nil"/>
                <w:lang w:val="de-DE"/>
              </w:rPr>
              <w:t xml:space="preserve">und dieses Fachwissen zu stützen, den Stellungnahmen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eine zusätzliche Legitimität zu verschaffen und zur Aufrechterhaltung und Förderung </w:t>
            </w:r>
            <w:r w:rsidR="005A5658">
              <w:rPr>
                <w:rFonts w:ascii="Arial" w:hAnsi="Arial" w:eastAsia="Arial" w:cs="Arial"/>
                <w:sz w:val="22"/>
                <w:szCs w:val="22"/>
                <w:bdr w:val="nil"/>
                <w:lang w:val="de-DE"/>
              </w:rPr>
              <w:t>der</w:t>
            </w:r>
            <w:r w:rsidR="0078680C">
              <w:rPr>
                <w:rFonts w:ascii="Arial" w:hAnsi="Arial" w:eastAsia="Arial" w:cs="Arial"/>
                <w:sz w:val="22"/>
                <w:szCs w:val="22"/>
                <w:bdr w:val="nil"/>
                <w:lang w:val="de-DE"/>
              </w:rPr>
              <w:t xml:space="preserve"> Unabhängigkeit und Effektivität </w:t>
            </w:r>
            <w:r w:rsidR="005A5658">
              <w:rPr>
                <w:rFonts w:ascii="Arial" w:hAnsi="Arial" w:eastAsia="Arial" w:cs="Arial"/>
                <w:sz w:val="22"/>
                <w:szCs w:val="22"/>
                <w:bdr w:val="nil"/>
                <w:lang w:val="de-DE"/>
              </w:rPr>
              <w:t xml:space="preserve">der Gleichheitsstelle </w:t>
            </w:r>
            <w:r w:rsidR="0078680C">
              <w:rPr>
                <w:rFonts w:ascii="Arial" w:hAnsi="Arial" w:eastAsia="Arial" w:cs="Arial"/>
                <w:sz w:val="22"/>
                <w:szCs w:val="22"/>
                <w:bdr w:val="nil"/>
                <w:lang w:val="de-DE"/>
              </w:rPr>
              <w:t xml:space="preserve">beizutragen.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w:t>
            </w:r>
            <w:r w:rsidR="00F90CB2">
              <w:rPr>
                <w:rFonts w:ascii="Arial" w:hAnsi="Arial" w:eastAsia="Arial" w:cs="Arial"/>
                <w:sz w:val="22"/>
                <w:szCs w:val="22"/>
                <w:bdr w:val="nil"/>
                <w:lang w:val="de-DE"/>
              </w:rPr>
              <w:t xml:space="preserve">ihrerseits </w:t>
            </w:r>
            <w:r w:rsidR="0078680C">
              <w:rPr>
                <w:rFonts w:ascii="Arial" w:hAnsi="Arial" w:eastAsia="Arial" w:cs="Arial"/>
                <w:sz w:val="22"/>
                <w:szCs w:val="22"/>
                <w:bdr w:val="nil"/>
                <w:lang w:val="de-DE"/>
              </w:rPr>
              <w:t xml:space="preserve">die Umsetzung der Empfehlungen der zwischenstaatlichen Organisationen auf nationaler Ebene fördern und überwachen. </w:t>
            </w:r>
          </w:p>
        </w:tc>
      </w:tr>
      <w:tr w:rsidRPr="00C0685F" w:rsidR="00D8651C" w:rsidTr="00C0685F" w14:paraId="5AAD2A19" w14:textId="77777777">
        <w:trPr>
          <w:gridAfter w:val="1"/>
          <w:wAfter w:w="649" w:type="dxa"/>
        </w:trPr>
        <w:tc>
          <w:tcPr>
            <w:tcW w:w="0" w:type="auto"/>
          </w:tcPr>
          <w:p w:rsidRPr="006C29B1" w:rsidR="00DD016F" w:rsidP="004B73F0" w:rsidRDefault="00781974" w14:paraId="19633E19" w14:textId="5AEC5000">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sidR="00712CFD">
              <w:rPr>
                <w:rFonts w:ascii="Arial" w:hAnsi="Arial" w:eastAsia="Arial" w:cs="Arial"/>
                <w:sz w:val="22"/>
                <w:szCs w:val="22"/>
                <w:bdr w:val="nil"/>
                <w:lang w:val="de-DE"/>
              </w:rPr>
              <w:t>arbeiten</w:t>
            </w:r>
            <w:r w:rsidR="0078680C">
              <w:rPr>
                <w:rFonts w:ascii="Arial" w:hAnsi="Arial" w:eastAsia="Arial" w:cs="Arial"/>
                <w:sz w:val="22"/>
                <w:szCs w:val="22"/>
                <w:bdr w:val="nil"/>
                <w:lang w:val="de-DE"/>
              </w:rPr>
              <w:t xml:space="preserve"> in einem weiter gefassten Rahmen aus Organisationen und Institutionen, die sich mit Gleichheit, Diskriminierung und Intoleranz befassen. Der Aufbau von Netzwerken zwischen diesen Organisationen, die </w:t>
            </w:r>
            <w:r w:rsidR="00712CFD">
              <w:rPr>
                <w:rFonts w:ascii="Arial" w:hAnsi="Arial" w:eastAsia="Arial" w:cs="Arial"/>
                <w:sz w:val="22"/>
                <w:szCs w:val="22"/>
                <w:bdr w:val="nil"/>
                <w:lang w:val="de-DE"/>
              </w:rPr>
              <w:t>Er</w:t>
            </w:r>
            <w:r w:rsidR="005A5658">
              <w:rPr>
                <w:rFonts w:ascii="Arial" w:hAnsi="Arial" w:eastAsia="Arial" w:cs="Arial"/>
                <w:sz w:val="22"/>
                <w:szCs w:val="22"/>
                <w:bdr w:val="nil"/>
                <w:lang w:val="de-DE"/>
              </w:rPr>
              <w:t xml:space="preserve">forschung </w:t>
            </w:r>
            <w:r w:rsidR="00712CFD">
              <w:rPr>
                <w:rFonts w:ascii="Arial" w:hAnsi="Arial" w:eastAsia="Arial" w:cs="Arial"/>
                <w:sz w:val="22"/>
                <w:szCs w:val="22"/>
                <w:bdr w:val="nil"/>
                <w:lang w:val="de-DE"/>
              </w:rPr>
              <w:t xml:space="preserve">ihrer </w:t>
            </w:r>
            <w:r w:rsidR="00712CFD">
              <w:rPr>
                <w:rFonts w:ascii="Arial" w:hAnsi="Arial" w:eastAsia="Arial" w:cs="Arial"/>
                <w:sz w:val="22"/>
                <w:szCs w:val="22"/>
                <w:bdr w:val="nil"/>
                <w:lang w:val="de-DE"/>
              </w:rPr>
              <w:lastRenderedPageBreak/>
              <w:t>Anliegen</w:t>
            </w:r>
            <w:r w:rsidR="0078680C">
              <w:rPr>
                <w:rFonts w:ascii="Arial" w:hAnsi="Arial" w:eastAsia="Arial" w:cs="Arial"/>
                <w:sz w:val="22"/>
                <w:szCs w:val="22"/>
                <w:bdr w:val="nil"/>
                <w:lang w:val="de-DE"/>
              </w:rPr>
              <w:t xml:space="preserve"> und </w:t>
            </w:r>
            <w:r w:rsidR="00712CFD">
              <w:rPr>
                <w:rFonts w:ascii="Arial" w:hAnsi="Arial" w:eastAsia="Arial" w:cs="Arial"/>
                <w:sz w:val="22"/>
                <w:szCs w:val="22"/>
                <w:bdr w:val="nil"/>
                <w:lang w:val="de-DE"/>
              </w:rPr>
              <w:t>ein Beitrag zur</w:t>
            </w:r>
            <w:r w:rsidR="0078680C">
              <w:rPr>
                <w:rFonts w:ascii="Arial" w:hAnsi="Arial" w:eastAsia="Arial" w:cs="Arial"/>
                <w:sz w:val="22"/>
                <w:szCs w:val="22"/>
                <w:bdr w:val="nil"/>
                <w:lang w:val="de-DE"/>
              </w:rPr>
              <w:t xml:space="preserve"> Koordinierung </w:t>
            </w:r>
            <w:r w:rsidR="00712CFD">
              <w:rPr>
                <w:rFonts w:ascii="Arial" w:hAnsi="Arial" w:eastAsia="Arial" w:cs="Arial"/>
                <w:sz w:val="22"/>
                <w:szCs w:val="22"/>
                <w:bdr w:val="nil"/>
                <w:lang w:val="de-DE"/>
              </w:rPr>
              <w:t xml:space="preserve">von </w:t>
            </w:r>
            <w:r w:rsidR="0078680C">
              <w:rPr>
                <w:rFonts w:ascii="Arial" w:hAnsi="Arial" w:eastAsia="Arial" w:cs="Arial"/>
                <w:sz w:val="22"/>
                <w:szCs w:val="22"/>
                <w:bdr w:val="nil"/>
                <w:lang w:val="de-DE"/>
              </w:rPr>
              <w:t xml:space="preserve">Maßnahmen innerhalb dieser Netzwerke werden </w:t>
            </w:r>
            <w:r w:rsidR="00712CFD">
              <w:rPr>
                <w:rFonts w:ascii="Arial" w:hAnsi="Arial" w:eastAsia="Arial" w:cs="Arial"/>
                <w:sz w:val="22"/>
                <w:szCs w:val="22"/>
                <w:bdr w:val="nil"/>
                <w:lang w:val="de-DE"/>
              </w:rPr>
              <w:t>deren</w:t>
            </w:r>
            <w:r w:rsidR="0078680C">
              <w:rPr>
                <w:rFonts w:ascii="Arial" w:hAnsi="Arial" w:eastAsia="Arial" w:cs="Arial"/>
                <w:sz w:val="22"/>
                <w:szCs w:val="22"/>
                <w:bdr w:val="nil"/>
                <w:lang w:val="de-DE"/>
              </w:rPr>
              <w:t xml:space="preserve"> </w:t>
            </w:r>
            <w:r w:rsidR="00712CFD">
              <w:rPr>
                <w:rFonts w:ascii="Arial" w:hAnsi="Arial" w:eastAsia="Arial" w:cs="Arial"/>
                <w:sz w:val="22"/>
                <w:szCs w:val="22"/>
                <w:bdr w:val="nil"/>
                <w:lang w:val="de-DE"/>
              </w:rPr>
              <w:t>Beitrag zur Erreichung des</w:t>
            </w:r>
            <w:r w:rsidR="0078680C">
              <w:rPr>
                <w:rFonts w:ascii="Arial" w:hAnsi="Arial" w:eastAsia="Arial" w:cs="Arial"/>
                <w:sz w:val="22"/>
                <w:szCs w:val="22"/>
                <w:bdr w:val="nil"/>
                <w:lang w:val="de-DE"/>
              </w:rPr>
              <w:t xml:space="preserve"> gemeinsame</w:t>
            </w:r>
            <w:r w:rsidR="00712CFD">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Ziel</w:t>
            </w:r>
            <w:r w:rsidR="00712CFD">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erhöhen.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können auf diese Weise als Knotenpunkt dienen, über den diese Organisationen miteinander verbunden sind und sich austauschen. Diese Netzwerke sollten eingesetzt werden, um ein gemeinsames Verständnis und gemeinsame Ziele im Bereich</w:t>
            </w:r>
            <w:r w:rsidR="005A5658">
              <w:rPr>
                <w:rFonts w:ascii="Arial" w:hAnsi="Arial" w:eastAsia="Arial" w:cs="Arial"/>
                <w:sz w:val="22"/>
                <w:szCs w:val="22"/>
                <w:bdr w:val="nil"/>
                <w:lang w:val="de-DE"/>
              </w:rPr>
              <w:t xml:space="preserve"> der</w:t>
            </w:r>
            <w:r w:rsidR="0078680C">
              <w:rPr>
                <w:rFonts w:ascii="Arial" w:hAnsi="Arial" w:eastAsia="Arial" w:cs="Arial"/>
                <w:sz w:val="22"/>
                <w:szCs w:val="22"/>
                <w:bdr w:val="nil"/>
                <w:lang w:val="de-DE"/>
              </w:rPr>
              <w:t xml:space="preserve"> </w:t>
            </w:r>
            <w:r w:rsidR="00EB5612">
              <w:rPr>
                <w:rFonts w:ascii="Arial" w:hAnsi="Arial" w:eastAsia="Arial" w:cs="Arial"/>
                <w:sz w:val="22"/>
                <w:szCs w:val="22"/>
                <w:bdr w:val="nil"/>
                <w:lang w:val="de-DE"/>
              </w:rPr>
              <w:t>Gleichheit</w:t>
            </w:r>
            <w:r w:rsidR="0078680C">
              <w:rPr>
                <w:rFonts w:ascii="Arial" w:hAnsi="Arial" w:eastAsia="Arial" w:cs="Arial"/>
                <w:sz w:val="22"/>
                <w:szCs w:val="22"/>
                <w:bdr w:val="nil"/>
                <w:lang w:val="de-DE"/>
              </w:rPr>
              <w:t xml:space="preserve"> zu entwickeln und gemeinsame Maßnahmen umzusetzen. Darüber hinaus kann die Kooperation mit Rechtsanwälten, die bereit sind, auf pro bono-Basis zu arbeiten, für die Förderung</w:t>
            </w:r>
            <w:r w:rsidR="005A5658">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Prävention</w:t>
            </w:r>
            <w:r w:rsidR="005A5658">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sowie d</w:t>
            </w:r>
            <w:r w:rsidR="00DC21F6">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Unterstützung</w:t>
            </w:r>
            <w:r w:rsidR="005A5658">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w:t>
            </w:r>
            <w:r w:rsidR="005A5658">
              <w:rPr>
                <w:rFonts w:ascii="Arial" w:hAnsi="Arial" w:eastAsia="Arial" w:cs="Arial"/>
                <w:sz w:val="22"/>
                <w:szCs w:val="22"/>
                <w:bdr w:val="nil"/>
                <w:lang w:val="de-DE"/>
              </w:rPr>
              <w:t>Rechtsd</w:t>
            </w:r>
            <w:r w:rsidR="0078680C">
              <w:rPr>
                <w:rFonts w:ascii="Arial" w:hAnsi="Arial" w:eastAsia="Arial" w:cs="Arial"/>
                <w:sz w:val="22"/>
                <w:szCs w:val="22"/>
                <w:bdr w:val="nil"/>
                <w:lang w:val="de-DE"/>
              </w:rPr>
              <w:t>urchsetzung</w:t>
            </w:r>
            <w:r w:rsidR="005A5658">
              <w:rPr>
                <w:rFonts w:ascii="Arial" w:hAnsi="Arial" w:eastAsia="Arial" w:cs="Arial"/>
                <w:sz w:val="22"/>
                <w:szCs w:val="22"/>
                <w:bdr w:val="nil"/>
                <w:lang w:val="de-DE"/>
              </w:rPr>
              <w:t>sfunktion besonders wichtig</w:t>
            </w:r>
            <w:r w:rsidR="0078680C">
              <w:rPr>
                <w:rFonts w:ascii="Arial" w:hAnsi="Arial" w:eastAsia="Arial" w:cs="Arial"/>
                <w:sz w:val="22"/>
                <w:szCs w:val="22"/>
                <w:bdr w:val="nil"/>
                <w:lang w:val="de-DE"/>
              </w:rPr>
              <w:t xml:space="preserve"> sein.</w:t>
            </w:r>
          </w:p>
          <w:p w:rsidRPr="00C0685F" w:rsidR="00DD016F" w:rsidP="004B73F0" w:rsidRDefault="0078680C" w14:paraId="0F5212F0" w14:textId="3837CFC1">
            <w:pPr>
              <w:pStyle w:val="ListParagraph"/>
              <w:numPr>
                <w:ilvl w:val="0"/>
                <w:numId w:val="12"/>
              </w:numPr>
              <w:tabs>
                <w:tab w:val="left" w:pos="3828"/>
              </w:tabs>
              <w:spacing w:before="100" w:beforeAutospacing="1" w:after="100" w:afterAutospacing="1" w:line="240" w:lineRule="exact"/>
              <w:ind w:left="460" w:hanging="504"/>
              <w:contextualSpacing w:val="0"/>
              <w:jc w:val="both"/>
              <w:rPr>
                <w:rFonts w:ascii="Arial" w:hAnsi="Arial"/>
                <w:sz w:val="22"/>
                <w:lang w:val="de-DE"/>
              </w:rPr>
            </w:pPr>
            <w:r>
              <w:rPr>
                <w:rFonts w:ascii="Arial" w:hAnsi="Arial" w:eastAsia="Arial" w:cs="Arial"/>
                <w:sz w:val="22"/>
                <w:szCs w:val="22"/>
                <w:bdr w:val="nil"/>
                <w:lang w:val="de-DE"/>
              </w:rPr>
              <w:t xml:space="preserve">Die Kooperation mit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in anderen Mitgliedstaaten ist eine wichtige Quelle für Peer</w:t>
            </w:r>
            <w:r w:rsidR="00712CFD">
              <w:rPr>
                <w:rFonts w:ascii="Arial" w:hAnsi="Arial" w:eastAsia="Arial" w:cs="Arial"/>
                <w:sz w:val="22"/>
                <w:szCs w:val="22"/>
                <w:bdr w:val="nil"/>
                <w:lang w:val="de-DE"/>
              </w:rPr>
              <w:t>-</w:t>
            </w:r>
            <w:r>
              <w:rPr>
                <w:rFonts w:ascii="Arial" w:hAnsi="Arial" w:eastAsia="Arial" w:cs="Arial"/>
                <w:sz w:val="22"/>
                <w:szCs w:val="22"/>
                <w:bdr w:val="nil"/>
                <w:lang w:val="de-DE"/>
              </w:rPr>
              <w:t xml:space="preserve">Learning, kontinuierliche Verbesserung und </w:t>
            </w:r>
            <w:r w:rsidR="00712CFD">
              <w:rPr>
                <w:rFonts w:ascii="Arial" w:hAnsi="Arial" w:eastAsia="Arial" w:cs="Arial"/>
                <w:sz w:val="22"/>
                <w:szCs w:val="22"/>
                <w:bdr w:val="nil"/>
                <w:lang w:val="de-DE"/>
              </w:rPr>
              <w:t xml:space="preserve">die </w:t>
            </w:r>
            <w:r>
              <w:rPr>
                <w:rFonts w:ascii="Arial" w:hAnsi="Arial" w:eastAsia="Arial" w:cs="Arial"/>
                <w:sz w:val="22"/>
                <w:szCs w:val="22"/>
                <w:bdr w:val="nil"/>
                <w:lang w:val="de-DE"/>
              </w:rPr>
              <w:t xml:space="preserve">Stärkung </w:t>
            </w:r>
            <w:r w:rsidR="00712CFD">
              <w:rPr>
                <w:rFonts w:ascii="Arial" w:hAnsi="Arial" w:eastAsia="Arial" w:cs="Arial"/>
                <w:sz w:val="22"/>
                <w:szCs w:val="22"/>
                <w:bdr w:val="nil"/>
                <w:lang w:val="de-DE"/>
              </w:rPr>
              <w:t>von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Equinet, das Europäische Netz nationaler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w:t>
            </w:r>
            <w:r w:rsidR="00DC21F6">
              <w:rPr>
                <w:rFonts w:ascii="Arial" w:hAnsi="Arial" w:eastAsia="Arial" w:cs="Arial"/>
                <w:sz w:val="22"/>
                <w:szCs w:val="22"/>
                <w:bdr w:val="nil"/>
                <w:lang w:val="de-DE"/>
              </w:rPr>
              <w:t xml:space="preserve"> beispielsweise</w:t>
            </w:r>
            <w:r>
              <w:rPr>
                <w:rFonts w:ascii="Arial" w:hAnsi="Arial" w:eastAsia="Arial" w:cs="Arial"/>
                <w:sz w:val="22"/>
                <w:szCs w:val="22"/>
                <w:bdr w:val="nil"/>
                <w:lang w:val="de-DE"/>
              </w:rPr>
              <w:t xml:space="preserve">, </w:t>
            </w:r>
            <w:r w:rsidR="00DC21F6">
              <w:rPr>
                <w:rFonts w:ascii="Arial" w:hAnsi="Arial" w:eastAsia="Arial" w:cs="Arial"/>
                <w:sz w:val="22"/>
                <w:szCs w:val="22"/>
                <w:bdr w:val="nil"/>
                <w:lang w:val="de-DE"/>
              </w:rPr>
              <w:t>hat hierbei</w:t>
            </w:r>
            <w:r w:rsidR="00712CFD">
              <w:rPr>
                <w:rFonts w:ascii="Arial" w:hAnsi="Arial" w:eastAsia="Arial" w:cs="Arial"/>
                <w:sz w:val="22"/>
                <w:szCs w:val="22"/>
                <w:bdr w:val="nil"/>
                <w:lang w:val="de-DE"/>
              </w:rPr>
              <w:t xml:space="preserve"> </w:t>
            </w:r>
            <w:r>
              <w:rPr>
                <w:rFonts w:ascii="Arial" w:hAnsi="Arial" w:eastAsia="Arial" w:cs="Arial"/>
                <w:sz w:val="22"/>
                <w:szCs w:val="22"/>
                <w:bdr w:val="nil"/>
                <w:lang w:val="de-DE"/>
              </w:rPr>
              <w:t>eine wertvolle Rolle.</w:t>
            </w:r>
          </w:p>
        </w:tc>
      </w:tr>
      <w:tr w:rsidRPr="00C0685F" w:rsidR="00D8651C" w:rsidTr="00C0685F" w14:paraId="47C215C4" w14:textId="77777777">
        <w:tc>
          <w:tcPr>
            <w:tcW w:w="10112" w:type="dxa"/>
            <w:gridSpan w:val="2"/>
          </w:tcPr>
          <w:p w:rsidRPr="00C0685F" w:rsidR="00DD016F" w:rsidP="008E2E49" w:rsidRDefault="00BE03CC" w14:paraId="4034E1AA" w14:textId="5029FFB2">
            <w:pPr>
              <w:pStyle w:val="berschrift11"/>
              <w:numPr>
                <w:ilvl w:val="0"/>
                <w:numId w:val="30"/>
              </w:numPr>
              <w:spacing w:before="100" w:beforeAutospacing="1" w:after="100" w:afterAutospacing="1" w:line="240" w:lineRule="exact"/>
              <w:ind w:left="743"/>
              <w:rPr>
                <w:rFonts w:ascii="Arial" w:hAnsi="Arial"/>
                <w:lang w:val="de-DE"/>
              </w:rPr>
            </w:pPr>
            <w:r w:rsidRPr="00BE03CC">
              <w:rPr>
                <w:rFonts w:ascii="Arial" w:hAnsi="Arial" w:eastAsia="Arial" w:cs="Arial"/>
                <w:bCs/>
                <w:szCs w:val="22"/>
                <w:bdr w:val="nil"/>
                <w:lang w:val="de-DE"/>
              </w:rPr>
              <w:lastRenderedPageBreak/>
              <w:t>Kompetenzen im Bereich der Unterstützung und Rechtsdurchsetzung</w:t>
            </w:r>
          </w:p>
        </w:tc>
      </w:tr>
      <w:tr w:rsidRPr="00046FAE" w:rsidR="00D8651C" w:rsidTr="00C0685F" w14:paraId="179BB4BB" w14:textId="77777777">
        <w:tc>
          <w:tcPr>
            <w:tcW w:w="10112" w:type="dxa"/>
            <w:gridSpan w:val="2"/>
          </w:tcPr>
          <w:p w:rsidRPr="006353CB" w:rsidR="00DD016F" w:rsidP="005B4190" w:rsidRDefault="00786C47" w14:paraId="7BC9E654" w14:textId="20C4D491">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_Ref483922940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14</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58116B" w:rsidRDefault="0078680C" w14:paraId="0B961476" w14:textId="24327AB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bookmarkStart w:name="_Ref476316591" w:id="50"/>
            <w:r>
              <w:rPr>
                <w:rFonts w:ascii="Arial" w:hAnsi="Arial" w:eastAsia="Arial" w:cs="Arial"/>
                <w:sz w:val="22"/>
                <w:szCs w:val="22"/>
                <w:bdr w:val="nil"/>
                <w:lang w:val="de-DE"/>
              </w:rPr>
              <w:t xml:space="preserve">Menschen, die Diskriminierung und Intoleranz ausgesetzt sind, </w:t>
            </w:r>
            <w:r w:rsidR="00952CCE">
              <w:rPr>
                <w:rFonts w:ascii="Arial" w:hAnsi="Arial" w:eastAsia="Arial" w:cs="Arial"/>
                <w:sz w:val="22"/>
                <w:szCs w:val="22"/>
                <w:bdr w:val="nil"/>
                <w:lang w:val="de-DE"/>
              </w:rPr>
              <w:t xml:space="preserve">müssen vielfältige Probleme </w:t>
            </w:r>
            <w:r>
              <w:rPr>
                <w:rFonts w:ascii="Arial" w:hAnsi="Arial" w:eastAsia="Arial" w:cs="Arial"/>
                <w:sz w:val="22"/>
                <w:szCs w:val="22"/>
                <w:bdr w:val="nil"/>
                <w:lang w:val="de-DE"/>
              </w:rPr>
              <w:t>und Hürden</w:t>
            </w:r>
            <w:r w:rsidR="00952CCE">
              <w:rPr>
                <w:rFonts w:ascii="Arial" w:hAnsi="Arial" w:eastAsia="Arial" w:cs="Arial"/>
                <w:sz w:val="22"/>
                <w:szCs w:val="22"/>
                <w:bdr w:val="nil"/>
                <w:lang w:val="de-DE"/>
              </w:rPr>
              <w:t xml:space="preserve"> überwinden</w:t>
            </w:r>
            <w:r>
              <w:rPr>
                <w:rFonts w:ascii="Arial" w:hAnsi="Arial" w:eastAsia="Arial" w:cs="Arial"/>
                <w:sz w:val="22"/>
                <w:szCs w:val="22"/>
                <w:bdr w:val="nil"/>
                <w:lang w:val="de-DE"/>
              </w:rPr>
              <w:t xml:space="preserve">, wenn sie </w:t>
            </w:r>
            <w:r w:rsidR="00786C47">
              <w:rPr>
                <w:rFonts w:ascii="Arial" w:hAnsi="Arial" w:eastAsia="Arial" w:cs="Arial"/>
                <w:sz w:val="22"/>
                <w:szCs w:val="22"/>
                <w:bdr w:val="nil"/>
                <w:lang w:val="de-DE"/>
              </w:rPr>
              <w:t>gegen</w:t>
            </w:r>
            <w:r>
              <w:rPr>
                <w:rFonts w:ascii="Arial" w:hAnsi="Arial" w:eastAsia="Arial" w:cs="Arial"/>
                <w:sz w:val="22"/>
                <w:szCs w:val="22"/>
                <w:bdr w:val="nil"/>
                <w:lang w:val="de-DE"/>
              </w:rPr>
              <w:t xml:space="preserve"> Ungleichheit </w:t>
            </w:r>
            <w:r w:rsidR="00952CCE">
              <w:rPr>
                <w:rFonts w:ascii="Arial" w:hAnsi="Arial" w:eastAsia="Arial" w:cs="Arial"/>
                <w:sz w:val="22"/>
                <w:szCs w:val="22"/>
                <w:bdr w:val="nil"/>
                <w:lang w:val="de-DE"/>
              </w:rPr>
              <w:t xml:space="preserve">vorgehen </w:t>
            </w:r>
            <w:r w:rsidR="00786C47">
              <w:rPr>
                <w:rFonts w:ascii="Arial" w:hAnsi="Arial" w:eastAsia="Arial" w:cs="Arial"/>
                <w:sz w:val="22"/>
                <w:szCs w:val="22"/>
                <w:bdr w:val="nil"/>
                <w:lang w:val="de-DE"/>
              </w:rPr>
              <w:t>wollen</w:t>
            </w:r>
            <w:r>
              <w:rPr>
                <w:rFonts w:ascii="Arial" w:hAnsi="Arial" w:eastAsia="Arial" w:cs="Arial"/>
                <w:sz w:val="22"/>
                <w:szCs w:val="22"/>
                <w:bdr w:val="nil"/>
                <w:lang w:val="de-DE"/>
              </w:rPr>
              <w:t xml:space="preserve">. Viele von ihnen verfügen weder über die </w:t>
            </w:r>
            <w:r w:rsidR="00786C47">
              <w:rPr>
                <w:rFonts w:ascii="Arial" w:hAnsi="Arial" w:eastAsia="Arial" w:cs="Arial"/>
                <w:sz w:val="22"/>
                <w:szCs w:val="22"/>
                <w:bdr w:val="nil"/>
                <w:lang w:val="de-DE"/>
              </w:rPr>
              <w:t xml:space="preserve">Fähigkeiten </w:t>
            </w:r>
            <w:r>
              <w:rPr>
                <w:rFonts w:ascii="Arial" w:hAnsi="Arial" w:eastAsia="Arial" w:cs="Arial"/>
                <w:sz w:val="22"/>
                <w:szCs w:val="22"/>
                <w:bdr w:val="nil"/>
                <w:lang w:val="de-DE"/>
              </w:rPr>
              <w:t xml:space="preserve">noch die </w:t>
            </w:r>
            <w:r w:rsidR="00786C47">
              <w:rPr>
                <w:rFonts w:ascii="Arial" w:hAnsi="Arial" w:eastAsia="Arial" w:cs="Arial"/>
                <w:sz w:val="22"/>
                <w:szCs w:val="22"/>
                <w:bdr w:val="nil"/>
                <w:lang w:val="de-DE"/>
              </w:rPr>
              <w:t>Ressourcen</w:t>
            </w:r>
            <w:r>
              <w:rPr>
                <w:rFonts w:ascii="Arial" w:hAnsi="Arial" w:eastAsia="Arial" w:cs="Arial"/>
                <w:sz w:val="22"/>
                <w:szCs w:val="22"/>
                <w:bdr w:val="nil"/>
                <w:lang w:val="de-DE"/>
              </w:rPr>
              <w:t xml:space="preserve">, um ihre Rechte durchzusetzen. </w:t>
            </w:r>
            <w:r w:rsidR="00786C47">
              <w:rPr>
                <w:rFonts w:ascii="Arial" w:hAnsi="Arial" w:eastAsia="Arial" w:cs="Arial"/>
                <w:sz w:val="22"/>
                <w:szCs w:val="22"/>
                <w:bdr w:val="nil"/>
                <w:lang w:val="de-DE"/>
              </w:rPr>
              <w:t>G</w:t>
            </w:r>
            <w:r w:rsidR="00781974">
              <w:rPr>
                <w:rFonts w:ascii="Arial" w:hAnsi="Arial" w:eastAsia="Arial" w:cs="Arial"/>
                <w:sz w:val="22"/>
                <w:szCs w:val="22"/>
                <w:bdr w:val="nil"/>
                <w:lang w:val="de-DE"/>
              </w:rPr>
              <w:t>leichheitsstelle</w:t>
            </w:r>
            <w:r>
              <w:rPr>
                <w:rFonts w:ascii="Arial" w:hAnsi="Arial" w:eastAsia="Arial" w:cs="Arial"/>
                <w:sz w:val="22"/>
                <w:szCs w:val="22"/>
                <w:bdr w:val="nil"/>
                <w:lang w:val="de-DE"/>
              </w:rPr>
              <w:t xml:space="preserve">n </w:t>
            </w:r>
            <w:r w:rsidR="00786C47">
              <w:rPr>
                <w:rFonts w:ascii="Arial" w:hAnsi="Arial" w:eastAsia="Arial" w:cs="Arial"/>
                <w:sz w:val="22"/>
                <w:szCs w:val="22"/>
                <w:bdr w:val="nil"/>
                <w:lang w:val="de-DE"/>
              </w:rPr>
              <w:t xml:space="preserve">haben daher </w:t>
            </w:r>
            <w:r w:rsidR="00952CCE">
              <w:rPr>
                <w:rFonts w:ascii="Arial" w:hAnsi="Arial" w:eastAsia="Arial" w:cs="Arial"/>
                <w:sz w:val="22"/>
                <w:szCs w:val="22"/>
                <w:bdr w:val="nil"/>
                <w:lang w:val="de-DE"/>
              </w:rPr>
              <w:t>eine wichtige Funktion: diesen Menschen bei der Durchsetzung ihrer Rechte zu helfen</w:t>
            </w:r>
            <w:r>
              <w:rPr>
                <w:rFonts w:ascii="Arial" w:hAnsi="Arial" w:eastAsia="Arial" w:cs="Arial"/>
                <w:sz w:val="22"/>
                <w:szCs w:val="22"/>
                <w:bdr w:val="nil"/>
                <w:lang w:val="de-DE"/>
              </w:rPr>
              <w:t>.</w:t>
            </w:r>
            <w:bookmarkEnd w:id="50"/>
            <w:r>
              <w:rPr>
                <w:rFonts w:ascii="Arial" w:hAnsi="Arial" w:eastAsia="Arial" w:cs="Arial"/>
                <w:sz w:val="22"/>
                <w:szCs w:val="22"/>
                <w:bdr w:val="nil"/>
                <w:lang w:val="de-DE"/>
              </w:rPr>
              <w:t xml:space="preserve"> </w:t>
            </w:r>
          </w:p>
        </w:tc>
      </w:tr>
      <w:tr w:rsidRPr="00046FAE" w:rsidR="00D8651C" w:rsidTr="00C0685F" w14:paraId="19F06241" w14:textId="77777777">
        <w:tc>
          <w:tcPr>
            <w:tcW w:w="10112" w:type="dxa"/>
            <w:gridSpan w:val="2"/>
          </w:tcPr>
          <w:p w:rsidRPr="00C0685F" w:rsidR="00DD016F" w:rsidP="0058116B" w:rsidRDefault="00781974" w14:paraId="4B7136CF" w14:textId="44399A57">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bookmarkStart w:name="_Ref482625791" w:id="51"/>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das Recht haben, Beschwerden über Diskriminierung und Intoleranz</w:t>
            </w:r>
            <w:r w:rsidR="00DC21F6">
              <w:rPr>
                <w:rFonts w:ascii="Arial" w:hAnsi="Arial" w:eastAsia="Arial" w:cs="Arial"/>
                <w:sz w:val="22"/>
                <w:szCs w:val="22"/>
                <w:bdr w:val="nil"/>
                <w:lang w:val="de-DE"/>
              </w:rPr>
              <w:t xml:space="preserve"> einschließlich Hassrede</w:t>
            </w:r>
            <w:r w:rsidR="0078680C">
              <w:rPr>
                <w:rFonts w:ascii="Arial" w:hAnsi="Arial" w:eastAsia="Arial" w:cs="Arial"/>
                <w:sz w:val="22"/>
                <w:szCs w:val="22"/>
                <w:bdr w:val="nil"/>
                <w:lang w:val="de-DE"/>
              </w:rPr>
              <w:t xml:space="preserve"> entgegenzunehmen und zu bearbeiten. </w:t>
            </w:r>
            <w:r w:rsidR="00786C47">
              <w:rPr>
                <w:rFonts w:ascii="Arial" w:hAnsi="Arial" w:eastAsia="Arial" w:cs="Arial"/>
                <w:sz w:val="22"/>
                <w:szCs w:val="22"/>
                <w:bdr w:val="nil"/>
                <w:lang w:val="de-DE"/>
              </w:rPr>
              <w:t>Um die</w:t>
            </w:r>
            <w:r w:rsidR="0078680C">
              <w:rPr>
                <w:rFonts w:ascii="Arial" w:hAnsi="Arial" w:eastAsia="Arial" w:cs="Arial"/>
                <w:sz w:val="22"/>
                <w:szCs w:val="22"/>
                <w:bdr w:val="nil"/>
                <w:lang w:val="de-DE"/>
              </w:rPr>
              <w:t xml:space="preserve"> Einreichung </w:t>
            </w:r>
            <w:r w:rsidR="00786C47">
              <w:rPr>
                <w:rFonts w:ascii="Arial" w:hAnsi="Arial" w:eastAsia="Arial" w:cs="Arial"/>
                <w:sz w:val="22"/>
                <w:szCs w:val="22"/>
                <w:bdr w:val="nil"/>
                <w:lang w:val="de-DE"/>
              </w:rPr>
              <w:t>solcher</w:t>
            </w:r>
            <w:r w:rsidR="0078680C">
              <w:rPr>
                <w:rFonts w:ascii="Arial" w:hAnsi="Arial" w:eastAsia="Arial" w:cs="Arial"/>
                <w:sz w:val="22"/>
                <w:szCs w:val="22"/>
                <w:bdr w:val="nil"/>
                <w:lang w:val="de-DE"/>
              </w:rPr>
              <w:t xml:space="preserve"> Beschwerden </w:t>
            </w:r>
            <w:r w:rsidR="00786C47">
              <w:rPr>
                <w:rFonts w:ascii="Arial" w:hAnsi="Arial" w:eastAsia="Arial" w:cs="Arial"/>
                <w:sz w:val="22"/>
                <w:szCs w:val="22"/>
                <w:bdr w:val="nil"/>
                <w:lang w:val="de-DE"/>
              </w:rPr>
              <w:t xml:space="preserve">zu erleichtern, </w:t>
            </w:r>
            <w:r w:rsidR="0078680C">
              <w:rPr>
                <w:rFonts w:ascii="Arial" w:hAnsi="Arial" w:eastAsia="Arial" w:cs="Arial"/>
                <w:sz w:val="22"/>
                <w:szCs w:val="22"/>
                <w:bdr w:val="nil"/>
                <w:lang w:val="de-DE"/>
              </w:rPr>
              <w:t xml:space="preserve">sollten sie sicherstellen, dass sie </w:t>
            </w:r>
            <w:r w:rsidR="00DC21F6">
              <w:rPr>
                <w:rFonts w:ascii="Arial" w:hAnsi="Arial" w:eastAsia="Arial" w:cs="Arial"/>
                <w:sz w:val="22"/>
                <w:szCs w:val="22"/>
                <w:bdr w:val="nil"/>
                <w:lang w:val="de-DE"/>
              </w:rPr>
              <w:t xml:space="preserve">für </w:t>
            </w:r>
            <w:r w:rsidR="0078680C">
              <w:rPr>
                <w:rFonts w:ascii="Arial" w:hAnsi="Arial" w:eastAsia="Arial" w:cs="Arial"/>
                <w:sz w:val="22"/>
                <w:szCs w:val="22"/>
                <w:bdr w:val="nil"/>
                <w:lang w:val="de-DE"/>
              </w:rPr>
              <w:t xml:space="preserve">Menschen, die Diskriminierung und Intoleranz ausgesetzt sind, leicht zugänglich sind (siehe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_Ref478550300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40</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w:t>
            </w:r>
            <w:r w:rsidR="00952CCE">
              <w:rPr>
                <w:rFonts w:ascii="Arial" w:hAnsi="Arial" w:eastAsia="Arial" w:cs="Arial"/>
                <w:sz w:val="22"/>
                <w:szCs w:val="22"/>
                <w:bdr w:val="nil"/>
                <w:lang w:val="de-DE"/>
              </w:rPr>
              <w:t xml:space="preserve">Häufig benötigen diese Menschen zunächst </w:t>
            </w:r>
            <w:r w:rsidR="0078680C">
              <w:rPr>
                <w:rFonts w:ascii="Arial" w:hAnsi="Arial" w:eastAsia="Arial" w:cs="Arial"/>
                <w:sz w:val="22"/>
                <w:szCs w:val="22"/>
                <w:bdr w:val="nil"/>
                <w:lang w:val="de-DE"/>
              </w:rPr>
              <w:t xml:space="preserve">persönliche und emotionale </w:t>
            </w:r>
            <w:r w:rsidR="00952CCE">
              <w:rPr>
                <w:rFonts w:ascii="Arial" w:hAnsi="Arial" w:eastAsia="Arial" w:cs="Arial"/>
                <w:sz w:val="22"/>
                <w:szCs w:val="22"/>
                <w:bdr w:val="nil"/>
                <w:lang w:val="de-DE"/>
              </w:rPr>
              <w:t>Unterstützung</w:t>
            </w:r>
            <w:r w:rsidR="0078680C">
              <w:rPr>
                <w:rFonts w:ascii="Arial" w:hAnsi="Arial" w:eastAsia="Arial" w:cs="Arial"/>
                <w:sz w:val="22"/>
                <w:szCs w:val="22"/>
                <w:bdr w:val="nil"/>
                <w:lang w:val="de-DE"/>
              </w:rPr>
              <w:t xml:space="preserve">, um mit der Diskriminierung </w:t>
            </w:r>
            <w:r w:rsidR="00952CCE">
              <w:rPr>
                <w:rFonts w:ascii="Arial" w:hAnsi="Arial" w:eastAsia="Arial" w:cs="Arial"/>
                <w:sz w:val="22"/>
                <w:szCs w:val="22"/>
                <w:bdr w:val="nil"/>
                <w:lang w:val="de-DE"/>
              </w:rPr>
              <w:t xml:space="preserve">und </w:t>
            </w:r>
            <w:r w:rsidR="0078680C">
              <w:rPr>
                <w:rFonts w:ascii="Arial" w:hAnsi="Arial" w:eastAsia="Arial" w:cs="Arial"/>
                <w:sz w:val="22"/>
                <w:szCs w:val="22"/>
                <w:bdr w:val="nil"/>
                <w:lang w:val="de-DE"/>
              </w:rPr>
              <w:t>Intoleranz umzugehen, die sie er</w:t>
            </w:r>
            <w:r w:rsidR="00952CCE">
              <w:rPr>
                <w:rFonts w:ascii="Arial" w:hAnsi="Arial" w:eastAsia="Arial" w:cs="Arial"/>
                <w:sz w:val="22"/>
                <w:szCs w:val="22"/>
                <w:bdr w:val="nil"/>
                <w:lang w:val="de-DE"/>
              </w:rPr>
              <w:t>fahren</w:t>
            </w:r>
            <w:r w:rsidR="0078680C">
              <w:rPr>
                <w:rFonts w:ascii="Arial" w:hAnsi="Arial" w:eastAsia="Arial" w:cs="Arial"/>
                <w:sz w:val="22"/>
                <w:szCs w:val="22"/>
                <w:bdr w:val="nil"/>
                <w:lang w:val="de-DE"/>
              </w:rPr>
              <w:t>. I</w:t>
            </w:r>
            <w:r w:rsidR="00952CCE">
              <w:rPr>
                <w:rFonts w:ascii="Arial" w:hAnsi="Arial" w:eastAsia="Arial" w:cs="Arial"/>
                <w:sz w:val="22"/>
                <w:szCs w:val="22"/>
                <w:bdr w:val="nil"/>
                <w:lang w:val="de-DE"/>
              </w:rPr>
              <w:t>m</w:t>
            </w:r>
            <w:r w:rsidR="0078680C">
              <w:rPr>
                <w:rFonts w:ascii="Arial" w:hAnsi="Arial" w:eastAsia="Arial" w:cs="Arial"/>
                <w:sz w:val="22"/>
                <w:szCs w:val="22"/>
                <w:bdr w:val="nil"/>
                <w:lang w:val="de-DE"/>
              </w:rPr>
              <w:t xml:space="preserve"> nächsten Schritt </w:t>
            </w:r>
            <w:r w:rsidR="00DC21F6">
              <w:rPr>
                <w:rFonts w:ascii="Arial" w:hAnsi="Arial" w:eastAsia="Arial" w:cs="Arial"/>
                <w:sz w:val="22"/>
                <w:szCs w:val="22"/>
                <w:bdr w:val="nil"/>
                <w:lang w:val="de-DE"/>
              </w:rPr>
              <w:t xml:space="preserve">brauchen </w:t>
            </w:r>
            <w:r w:rsidR="0078680C">
              <w:rPr>
                <w:rFonts w:ascii="Arial" w:hAnsi="Arial" w:eastAsia="Arial" w:cs="Arial"/>
                <w:sz w:val="22"/>
                <w:szCs w:val="22"/>
                <w:bdr w:val="nil"/>
                <w:lang w:val="de-DE"/>
              </w:rPr>
              <w:t xml:space="preserve">sie Rechtsberatung, um ihre Rechte und mögliche Wege zur </w:t>
            </w:r>
            <w:r w:rsidR="00952CCE">
              <w:rPr>
                <w:rFonts w:ascii="Arial" w:hAnsi="Arial" w:eastAsia="Arial" w:cs="Arial"/>
                <w:sz w:val="22"/>
                <w:szCs w:val="22"/>
                <w:bdr w:val="nil"/>
                <w:lang w:val="de-DE"/>
              </w:rPr>
              <w:t>Sicherung</w:t>
            </w:r>
            <w:r w:rsidR="0078680C">
              <w:rPr>
                <w:rFonts w:ascii="Arial" w:hAnsi="Arial" w:eastAsia="Arial" w:cs="Arial"/>
                <w:sz w:val="22"/>
                <w:szCs w:val="22"/>
                <w:bdr w:val="nil"/>
                <w:lang w:val="de-DE"/>
              </w:rPr>
              <w:t xml:space="preserve"> </w:t>
            </w:r>
            <w:r w:rsidR="00786C47">
              <w:rPr>
                <w:rFonts w:ascii="Arial" w:hAnsi="Arial" w:eastAsia="Arial" w:cs="Arial"/>
                <w:sz w:val="22"/>
                <w:szCs w:val="22"/>
                <w:bdr w:val="nil"/>
                <w:lang w:val="de-DE"/>
              </w:rPr>
              <w:t xml:space="preserve">dieser </w:t>
            </w:r>
            <w:r w:rsidR="0078680C">
              <w:rPr>
                <w:rFonts w:ascii="Arial" w:hAnsi="Arial" w:eastAsia="Arial" w:cs="Arial"/>
                <w:sz w:val="22"/>
                <w:szCs w:val="22"/>
                <w:bdr w:val="nil"/>
                <w:lang w:val="de-DE"/>
              </w:rPr>
              <w:t>Rechte zu klären. Anschließend b</w:t>
            </w:r>
            <w:r w:rsidR="00DC21F6">
              <w:rPr>
                <w:rFonts w:ascii="Arial" w:hAnsi="Arial" w:eastAsia="Arial" w:cs="Arial"/>
                <w:sz w:val="22"/>
                <w:szCs w:val="22"/>
                <w:bdr w:val="nil"/>
                <w:lang w:val="de-DE"/>
              </w:rPr>
              <w:t xml:space="preserve">enötigen </w:t>
            </w:r>
            <w:r w:rsidR="0078680C">
              <w:rPr>
                <w:rFonts w:ascii="Arial" w:hAnsi="Arial" w:eastAsia="Arial" w:cs="Arial"/>
                <w:sz w:val="22"/>
                <w:szCs w:val="22"/>
                <w:bdr w:val="nil"/>
                <w:lang w:val="de-DE"/>
              </w:rPr>
              <w:t xml:space="preserve">sie einen Rechtsbeistand, </w:t>
            </w:r>
            <w:r w:rsidR="00952CCE">
              <w:rPr>
                <w:rFonts w:ascii="Arial" w:hAnsi="Arial" w:eastAsia="Arial" w:cs="Arial"/>
                <w:sz w:val="22"/>
                <w:szCs w:val="22"/>
                <w:bdr w:val="nil"/>
                <w:lang w:val="de-DE"/>
              </w:rPr>
              <w:t>um</w:t>
            </w:r>
            <w:r w:rsidR="00786C47">
              <w:rPr>
                <w:rFonts w:ascii="Arial" w:hAnsi="Arial" w:eastAsia="Arial" w:cs="Arial"/>
                <w:sz w:val="22"/>
                <w:szCs w:val="22"/>
                <w:bdr w:val="nil"/>
                <w:lang w:val="de-DE"/>
              </w:rPr>
              <w:t xml:space="preserve"> s</w:t>
            </w:r>
            <w:r w:rsidR="0078680C">
              <w:rPr>
                <w:rFonts w:ascii="Arial" w:hAnsi="Arial" w:eastAsia="Arial" w:cs="Arial"/>
                <w:sz w:val="22"/>
                <w:szCs w:val="22"/>
                <w:bdr w:val="nil"/>
                <w:lang w:val="de-DE"/>
              </w:rPr>
              <w:t>ich an öffentliche und private Institutionen, Entscheidungs</w:t>
            </w:r>
            <w:r w:rsidR="00952CCE">
              <w:rPr>
                <w:rFonts w:ascii="Arial" w:hAnsi="Arial" w:eastAsia="Arial" w:cs="Arial"/>
                <w:sz w:val="22"/>
                <w:szCs w:val="22"/>
                <w:bdr w:val="nil"/>
                <w:lang w:val="de-DE"/>
              </w:rPr>
              <w:t>instanzen</w:t>
            </w:r>
            <w:r w:rsidR="0078680C">
              <w:rPr>
                <w:rFonts w:ascii="Arial" w:hAnsi="Arial" w:eastAsia="Arial" w:cs="Arial"/>
                <w:sz w:val="22"/>
                <w:szCs w:val="22"/>
                <w:bdr w:val="nil"/>
                <w:lang w:val="de-DE"/>
              </w:rPr>
              <w:t xml:space="preserve"> und Gerichte </w:t>
            </w:r>
            <w:r w:rsidR="00952CCE">
              <w:rPr>
                <w:rFonts w:ascii="Arial" w:hAnsi="Arial" w:eastAsia="Arial" w:cs="Arial"/>
                <w:sz w:val="22"/>
                <w:szCs w:val="22"/>
                <w:bdr w:val="nil"/>
                <w:lang w:val="de-DE"/>
              </w:rPr>
              <w:t xml:space="preserve">mit dem Ziel zu </w:t>
            </w:r>
            <w:r w:rsidR="0078680C">
              <w:rPr>
                <w:rFonts w:ascii="Arial" w:hAnsi="Arial" w:eastAsia="Arial" w:cs="Arial"/>
                <w:sz w:val="22"/>
                <w:szCs w:val="22"/>
                <w:bdr w:val="nil"/>
                <w:lang w:val="de-DE"/>
              </w:rPr>
              <w:t>wenden, ihre Rechte durchzusetzen.</w:t>
            </w:r>
            <w:bookmarkEnd w:id="51"/>
            <w:r w:rsidR="0078680C">
              <w:rPr>
                <w:rFonts w:ascii="Arial" w:hAnsi="Arial" w:eastAsia="Arial" w:cs="Arial"/>
                <w:sz w:val="22"/>
                <w:szCs w:val="22"/>
                <w:bdr w:val="nil"/>
                <w:lang w:val="de-DE"/>
              </w:rPr>
              <w:t xml:space="preserve"> </w:t>
            </w:r>
          </w:p>
          <w:p w:rsidRPr="006C29B1" w:rsidR="00DD016F" w:rsidP="0058116B" w:rsidRDefault="0078680C" w14:paraId="51508AF9" w14:textId="7C55A68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Der Terminus „Institution” schließt in diesem Zusammenhang alle Institutionen des öffentlichen und privaten Sektors ein, die sich mit der Bearbeitung oder Beilegung von Beschwerden wegen Diskriminierung oder Intoleranz befassen.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w:t>
            </w:r>
            <w:r w:rsidR="00952CCE">
              <w:rPr>
                <w:rFonts w:ascii="Arial" w:hAnsi="Arial" w:eastAsia="Arial" w:cs="Arial"/>
                <w:sz w:val="22"/>
                <w:szCs w:val="22"/>
                <w:bdr w:val="nil"/>
                <w:lang w:val="de-DE"/>
              </w:rPr>
              <w:t>n</w:t>
            </w:r>
            <w:r>
              <w:rPr>
                <w:rFonts w:ascii="Arial" w:hAnsi="Arial" w:eastAsia="Arial" w:cs="Arial"/>
                <w:sz w:val="22"/>
                <w:szCs w:val="22"/>
                <w:bdr w:val="nil"/>
                <w:lang w:val="de-DE"/>
              </w:rPr>
              <w:t xml:space="preserve">” schließen alle Gremien ein, die außerhalb des Gerichtswesens </w:t>
            </w:r>
            <w:r w:rsidR="00B05DF2">
              <w:rPr>
                <w:rFonts w:ascii="Arial" w:hAnsi="Arial" w:eastAsia="Arial" w:cs="Arial"/>
                <w:sz w:val="22"/>
                <w:szCs w:val="22"/>
                <w:bdr w:val="nil"/>
                <w:lang w:val="de-DE"/>
              </w:rPr>
              <w:t xml:space="preserve">Entscheidungsbefugnisse </w:t>
            </w:r>
            <w:r>
              <w:rPr>
                <w:rFonts w:ascii="Arial" w:hAnsi="Arial" w:eastAsia="Arial" w:cs="Arial"/>
                <w:sz w:val="22"/>
                <w:szCs w:val="22"/>
                <w:bdr w:val="nil"/>
                <w:lang w:val="de-DE"/>
              </w:rPr>
              <w:t xml:space="preserve">haben, u.a.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mit </w:t>
            </w:r>
            <w:r w:rsidR="008A1AFD">
              <w:rPr>
                <w:rFonts w:ascii="Arial" w:hAnsi="Arial" w:eastAsia="Arial" w:cs="Arial"/>
                <w:sz w:val="22"/>
                <w:szCs w:val="22"/>
                <w:bdr w:val="nil"/>
                <w:lang w:val="de-DE"/>
              </w:rPr>
              <w:t>Entscheidungsfunktion</w:t>
            </w:r>
            <w:r>
              <w:rPr>
                <w:rFonts w:ascii="Arial" w:hAnsi="Arial" w:eastAsia="Arial" w:cs="Arial"/>
                <w:sz w:val="22"/>
                <w:szCs w:val="22"/>
                <w:bdr w:val="nil"/>
                <w:lang w:val="de-DE"/>
              </w:rPr>
              <w:t xml:space="preserve">. </w:t>
            </w:r>
          </w:p>
        </w:tc>
      </w:tr>
      <w:tr w:rsidRPr="00046FAE" w:rsidR="00D8651C" w:rsidTr="00C0685F" w14:paraId="3B1FC283" w14:textId="77777777">
        <w:tc>
          <w:tcPr>
            <w:tcW w:w="10112" w:type="dxa"/>
            <w:gridSpan w:val="2"/>
          </w:tcPr>
          <w:p w:rsidRPr="00C0685F" w:rsidR="00DD016F" w:rsidP="0058116B" w:rsidRDefault="00786C47" w14:paraId="35F60B64" w14:textId="0355ED74">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Die Schlichtung</w:t>
            </w:r>
            <w:r w:rsidR="0078680C">
              <w:rPr>
                <w:rFonts w:ascii="Arial" w:hAnsi="Arial" w:eastAsia="Arial" w:cs="Arial"/>
                <w:sz w:val="22"/>
                <w:szCs w:val="22"/>
                <w:bdr w:val="nil"/>
                <w:lang w:val="de-DE"/>
              </w:rPr>
              <w:t xml:space="preserve"> kann ein rasche</w:t>
            </w:r>
            <w:r>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einvernehmliche</w:t>
            </w:r>
            <w:r>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Verfahren</w:t>
            </w:r>
            <w:r w:rsidR="0078680C">
              <w:rPr>
                <w:rFonts w:ascii="Arial" w:hAnsi="Arial" w:eastAsia="Arial" w:cs="Arial"/>
                <w:sz w:val="22"/>
                <w:szCs w:val="22"/>
                <w:bdr w:val="nil"/>
                <w:lang w:val="de-DE"/>
              </w:rPr>
              <w:t xml:space="preserve"> sein, um Diskriminierung oder Intoleranz zu beenden. Der </w:t>
            </w:r>
            <w:r>
              <w:rPr>
                <w:rFonts w:ascii="Arial" w:hAnsi="Arial" w:eastAsia="Arial" w:cs="Arial"/>
                <w:sz w:val="22"/>
                <w:szCs w:val="22"/>
                <w:bdr w:val="nil"/>
                <w:lang w:val="de-DE"/>
              </w:rPr>
              <w:t xml:space="preserve">Rückgriff auf die Schlichtung </w:t>
            </w:r>
            <w:r w:rsidR="0078680C">
              <w:rPr>
                <w:rFonts w:ascii="Arial" w:hAnsi="Arial" w:eastAsia="Arial" w:cs="Arial"/>
                <w:sz w:val="22"/>
                <w:szCs w:val="22"/>
                <w:bdr w:val="nil"/>
                <w:lang w:val="de-DE"/>
              </w:rPr>
              <w:t xml:space="preserve">kann besonders dort von Vorteil sein, wo die Diskriminierung oder Intoleranz in einer bestehenden Beziehung auftritt, z. B. einem Beschäftigungs- oder einem Mietverhältnis. Die Schlichtung sollte einer unparteilichen Person oder Einheit innerhalb oder außerhalb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anvertraut werden. </w:t>
            </w:r>
          </w:p>
        </w:tc>
      </w:tr>
      <w:tr w:rsidRPr="00046FAE" w:rsidR="00D8651C" w:rsidTr="00C0685F" w14:paraId="5D8CFAF3" w14:textId="77777777">
        <w:tc>
          <w:tcPr>
            <w:tcW w:w="10112" w:type="dxa"/>
            <w:gridSpan w:val="2"/>
          </w:tcPr>
          <w:p w:rsidRPr="00C0685F" w:rsidR="00DD016F" w:rsidP="0058116B" w:rsidRDefault="00781974" w14:paraId="4C75E47F" w14:textId="3F93B89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bookmarkStart w:name="_Ref478627748" w:id="52"/>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das Recht haben, Menschen, die Diskriminierung und Intoleranz ausgesetzt sind, durch ihre eigenen Mitarbeiter zu vertreten oder einen Anwalt zu </w:t>
            </w:r>
            <w:r w:rsidR="00DC21F6">
              <w:rPr>
                <w:rFonts w:ascii="Arial" w:hAnsi="Arial" w:eastAsia="Arial" w:cs="Arial"/>
                <w:sz w:val="22"/>
                <w:szCs w:val="22"/>
                <w:bdr w:val="nil"/>
                <w:lang w:val="de-DE"/>
              </w:rPr>
              <w:t xml:space="preserve">beauftragen </w:t>
            </w:r>
            <w:r w:rsidR="0078680C">
              <w:rPr>
                <w:rFonts w:ascii="Arial" w:hAnsi="Arial" w:eastAsia="Arial" w:cs="Arial"/>
                <w:sz w:val="22"/>
                <w:szCs w:val="22"/>
                <w:bdr w:val="nil"/>
                <w:lang w:val="de-DE"/>
              </w:rPr>
              <w:t xml:space="preserve">und zu bezahlen, um die betreffende Person </w:t>
            </w:r>
            <w:r w:rsidR="00786C47">
              <w:rPr>
                <w:rFonts w:ascii="Arial" w:hAnsi="Arial" w:eastAsia="Arial" w:cs="Arial"/>
                <w:sz w:val="22"/>
                <w:szCs w:val="22"/>
                <w:bdr w:val="nil"/>
                <w:lang w:val="de-DE"/>
              </w:rPr>
              <w:t xml:space="preserve">vor </w:t>
            </w:r>
            <w:r w:rsidR="0078680C">
              <w:rPr>
                <w:rFonts w:ascii="Arial" w:hAnsi="Arial" w:eastAsia="Arial" w:cs="Arial"/>
                <w:sz w:val="22"/>
                <w:szCs w:val="22"/>
                <w:bdr w:val="nil"/>
                <w:lang w:val="de-DE"/>
              </w:rPr>
              <w:t xml:space="preserve">Institutionen,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und Gericht zu vertreten.</w:t>
            </w:r>
            <w:bookmarkEnd w:id="52"/>
            <w:r w:rsidR="0078680C">
              <w:rPr>
                <w:rFonts w:ascii="Arial" w:hAnsi="Arial" w:eastAsia="Arial" w:cs="Arial"/>
                <w:sz w:val="22"/>
                <w:szCs w:val="22"/>
                <w:bdr w:val="nil"/>
                <w:lang w:val="de-DE"/>
              </w:rPr>
              <w:t xml:space="preserve"> </w:t>
            </w:r>
          </w:p>
          <w:p w:rsidRPr="006C29B1" w:rsidR="00DD016F" w:rsidP="0058116B" w:rsidRDefault="0078680C" w14:paraId="61CBABDC" w14:textId="6E4371A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 Fällen von Diskriminierung gibt es vielfältige </w:t>
            </w:r>
            <w:r w:rsidR="00DC21F6">
              <w:rPr>
                <w:rFonts w:ascii="Arial" w:hAnsi="Arial" w:eastAsia="Arial" w:cs="Arial"/>
                <w:sz w:val="22"/>
                <w:szCs w:val="22"/>
                <w:bdr w:val="nil"/>
                <w:lang w:val="de-DE"/>
              </w:rPr>
              <w:t>Vorgehensweisen</w:t>
            </w:r>
            <w:r>
              <w:rPr>
                <w:rFonts w:ascii="Arial" w:hAnsi="Arial" w:eastAsia="Arial" w:cs="Arial"/>
                <w:sz w:val="22"/>
                <w:szCs w:val="22"/>
                <w:bdr w:val="nil"/>
                <w:lang w:val="de-DE"/>
              </w:rPr>
              <w:t xml:space="preserve">, aus denen die </w:t>
            </w:r>
            <w:r w:rsidR="00781974">
              <w:rPr>
                <w:rFonts w:ascii="Arial" w:hAnsi="Arial" w:eastAsia="Arial" w:cs="Arial"/>
                <w:sz w:val="22"/>
                <w:szCs w:val="22"/>
                <w:bdr w:val="nil"/>
                <w:lang w:val="de-DE"/>
              </w:rPr>
              <w:t>Gleichheitsstelle</w:t>
            </w:r>
            <w:r w:rsidR="00786C47">
              <w:rPr>
                <w:rFonts w:ascii="Arial" w:hAnsi="Arial" w:eastAsia="Arial" w:cs="Arial"/>
                <w:sz w:val="22"/>
                <w:szCs w:val="22"/>
                <w:bdr w:val="nil"/>
                <w:lang w:val="de-DE"/>
              </w:rPr>
              <w:t>n</w:t>
            </w:r>
            <w:r>
              <w:rPr>
                <w:rFonts w:ascii="Arial" w:hAnsi="Arial" w:eastAsia="Arial" w:cs="Arial"/>
                <w:sz w:val="22"/>
                <w:szCs w:val="22"/>
                <w:bdr w:val="nil"/>
                <w:lang w:val="de-DE"/>
              </w:rPr>
              <w:t xml:space="preserve"> d</w:t>
            </w:r>
            <w:r w:rsidR="00DC21F6">
              <w:rPr>
                <w:rFonts w:ascii="Arial" w:hAnsi="Arial" w:eastAsia="Arial" w:cs="Arial"/>
                <w:sz w:val="22"/>
                <w:szCs w:val="22"/>
                <w:bdr w:val="nil"/>
                <w:lang w:val="de-DE"/>
              </w:rPr>
              <w:t>ie</w:t>
            </w:r>
            <w:r>
              <w:rPr>
                <w:rFonts w:ascii="Arial" w:hAnsi="Arial" w:eastAsia="Arial" w:cs="Arial"/>
                <w:sz w:val="22"/>
                <w:szCs w:val="22"/>
                <w:bdr w:val="nil"/>
                <w:lang w:val="de-DE"/>
              </w:rPr>
              <w:t xml:space="preserve"> jeweils effektivste auswählen sollten, um die Rechte des Beschwerdeführers </w:t>
            </w:r>
            <w:r w:rsidR="00DC21F6">
              <w:rPr>
                <w:rFonts w:ascii="Arial" w:hAnsi="Arial" w:eastAsia="Arial" w:cs="Arial"/>
                <w:sz w:val="22"/>
                <w:szCs w:val="22"/>
                <w:bdr w:val="nil"/>
                <w:lang w:val="de-DE"/>
              </w:rPr>
              <w:t>geltend zu machen</w:t>
            </w:r>
            <w:r>
              <w:rPr>
                <w:rFonts w:ascii="Arial" w:hAnsi="Arial" w:eastAsia="Arial" w:cs="Arial"/>
                <w:sz w:val="22"/>
                <w:szCs w:val="22"/>
                <w:bdr w:val="nil"/>
                <w:lang w:val="de-DE"/>
              </w:rPr>
              <w:t xml:space="preserve">. Bei Problemen mit der Schulanmeldung </w:t>
            </w:r>
            <w:r>
              <w:rPr>
                <w:rFonts w:ascii="Arial" w:hAnsi="Arial" w:eastAsia="Arial" w:cs="Arial"/>
                <w:sz w:val="22"/>
                <w:szCs w:val="22"/>
                <w:bdr w:val="nil"/>
                <w:lang w:val="de-DE"/>
              </w:rPr>
              <w:lastRenderedPageBreak/>
              <w:t xml:space="preserve">oder Zwangsräumungen von Roma-Siedlungen könnte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z. B. ein Verwaltungsverfahren bei der zuständigen Behörde oder ein Verfahren bei einem Gleich</w:t>
            </w:r>
            <w:r w:rsidR="00786C47">
              <w:rPr>
                <w:rFonts w:ascii="Arial" w:hAnsi="Arial" w:eastAsia="Arial" w:cs="Arial"/>
                <w:sz w:val="22"/>
                <w:szCs w:val="22"/>
                <w:bdr w:val="nil"/>
                <w:lang w:val="de-DE"/>
              </w:rPr>
              <w:t>heitsgericht</w:t>
            </w:r>
            <w:r>
              <w:rPr>
                <w:rFonts w:ascii="Arial" w:hAnsi="Arial" w:eastAsia="Arial" w:cs="Arial"/>
                <w:sz w:val="22"/>
                <w:szCs w:val="22"/>
                <w:bdr w:val="nil"/>
                <w:lang w:val="de-DE"/>
              </w:rPr>
              <w:t xml:space="preserve"> oder einem ordentlichen Gericht einleiten. In anderen Fällen kann sie ein Verfahren bei einer </w:t>
            </w:r>
            <w:r w:rsidR="00536C2A">
              <w:rPr>
                <w:rFonts w:ascii="Arial" w:hAnsi="Arial" w:eastAsia="Arial" w:cs="Arial"/>
                <w:sz w:val="22"/>
                <w:szCs w:val="22"/>
                <w:bdr w:val="nil"/>
                <w:lang w:val="de-DE"/>
              </w:rPr>
              <w:t xml:space="preserve">privatrechtlichen </w:t>
            </w:r>
            <w:r w:rsidR="00786C47">
              <w:rPr>
                <w:rFonts w:ascii="Arial" w:hAnsi="Arial" w:eastAsia="Arial" w:cs="Arial"/>
                <w:sz w:val="22"/>
                <w:szCs w:val="22"/>
                <w:bdr w:val="nil"/>
                <w:lang w:val="de-DE"/>
              </w:rPr>
              <w:t xml:space="preserve">Einrichtung </w:t>
            </w:r>
            <w:r>
              <w:rPr>
                <w:rFonts w:ascii="Arial" w:hAnsi="Arial" w:eastAsia="Arial" w:cs="Arial"/>
                <w:sz w:val="22"/>
                <w:szCs w:val="22"/>
                <w:bdr w:val="nil"/>
                <w:lang w:val="de-DE"/>
              </w:rPr>
              <w:t xml:space="preserve">wählen, z. B. </w:t>
            </w:r>
            <w:r w:rsidR="00786C47">
              <w:rPr>
                <w:rFonts w:ascii="Arial" w:hAnsi="Arial" w:eastAsia="Arial" w:cs="Arial"/>
                <w:sz w:val="22"/>
                <w:szCs w:val="22"/>
                <w:bdr w:val="nil"/>
                <w:lang w:val="de-DE"/>
              </w:rPr>
              <w:t>ein</w:t>
            </w:r>
            <w:r>
              <w:rPr>
                <w:rFonts w:ascii="Arial" w:hAnsi="Arial" w:eastAsia="Arial" w:cs="Arial"/>
                <w:sz w:val="22"/>
                <w:szCs w:val="22"/>
                <w:bdr w:val="nil"/>
                <w:lang w:val="de-DE"/>
              </w:rPr>
              <w:t xml:space="preserve">em Presserat. </w:t>
            </w:r>
            <w:r w:rsidR="00536C2A">
              <w:rPr>
                <w:rFonts w:ascii="Arial" w:hAnsi="Arial" w:eastAsia="Arial" w:cs="Arial"/>
                <w:sz w:val="22"/>
                <w:szCs w:val="22"/>
                <w:bdr w:val="nil"/>
                <w:lang w:val="de-DE"/>
              </w:rPr>
              <w:t>Des Weiteren ist es</w:t>
            </w:r>
            <w:r>
              <w:rPr>
                <w:rFonts w:ascii="Arial" w:hAnsi="Arial" w:eastAsia="Arial" w:cs="Arial"/>
                <w:sz w:val="22"/>
                <w:szCs w:val="22"/>
                <w:bdr w:val="nil"/>
                <w:lang w:val="de-DE"/>
              </w:rPr>
              <w:t xml:space="preserve"> wichtig,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536C2A">
              <w:rPr>
                <w:rFonts w:ascii="Arial" w:hAnsi="Arial" w:eastAsia="Arial" w:cs="Arial"/>
                <w:sz w:val="22"/>
                <w:szCs w:val="22"/>
                <w:bdr w:val="nil"/>
                <w:lang w:val="de-DE"/>
              </w:rPr>
              <w:t>für</w:t>
            </w:r>
            <w:r>
              <w:rPr>
                <w:rFonts w:ascii="Arial" w:hAnsi="Arial" w:eastAsia="Arial" w:cs="Arial"/>
                <w:sz w:val="22"/>
                <w:szCs w:val="22"/>
                <w:bdr w:val="nil"/>
                <w:lang w:val="de-DE"/>
              </w:rPr>
              <w:t xml:space="preserve"> Fälle, die </w:t>
            </w:r>
            <w:r w:rsidR="00786C47">
              <w:rPr>
                <w:rFonts w:ascii="Arial" w:hAnsi="Arial" w:eastAsia="Arial" w:cs="Arial"/>
                <w:sz w:val="22"/>
                <w:szCs w:val="22"/>
                <w:bdr w:val="nil"/>
                <w:lang w:val="de-DE"/>
              </w:rPr>
              <w:t>die</w:t>
            </w:r>
            <w:r>
              <w:rPr>
                <w:rFonts w:ascii="Arial" w:hAnsi="Arial" w:eastAsia="Arial" w:cs="Arial"/>
                <w:sz w:val="22"/>
                <w:szCs w:val="22"/>
                <w:bdr w:val="nil"/>
                <w:lang w:val="de-DE"/>
              </w:rPr>
              <w:t xml:space="preserve"> Vereinbarkeit von Rechts- oder Verwaltungsakten mit dem Grundrecht auf </w:t>
            </w:r>
            <w:r w:rsidR="00E3434C">
              <w:rPr>
                <w:rFonts w:ascii="Arial" w:hAnsi="Arial" w:eastAsia="Arial" w:cs="Arial"/>
                <w:sz w:val="22"/>
                <w:szCs w:val="22"/>
                <w:bdr w:val="nil"/>
                <w:lang w:val="de-DE"/>
              </w:rPr>
              <w:t>Gleich</w:t>
            </w:r>
            <w:r w:rsidR="00786C47">
              <w:rPr>
                <w:rFonts w:ascii="Arial" w:hAnsi="Arial" w:eastAsia="Arial" w:cs="Arial"/>
                <w:sz w:val="22"/>
                <w:szCs w:val="22"/>
                <w:bdr w:val="nil"/>
                <w:lang w:val="de-DE"/>
              </w:rPr>
              <w:t>behandlung</w:t>
            </w:r>
            <w:r>
              <w:rPr>
                <w:rFonts w:ascii="Arial" w:hAnsi="Arial" w:eastAsia="Arial" w:cs="Arial"/>
                <w:sz w:val="22"/>
                <w:szCs w:val="22"/>
                <w:bdr w:val="nil"/>
                <w:lang w:val="de-DE"/>
              </w:rPr>
              <w:t xml:space="preserve"> be</w:t>
            </w:r>
            <w:r w:rsidR="00786C47">
              <w:rPr>
                <w:rFonts w:ascii="Arial" w:hAnsi="Arial" w:eastAsia="Arial" w:cs="Arial"/>
                <w:sz w:val="22"/>
                <w:szCs w:val="22"/>
                <w:bdr w:val="nil"/>
                <w:lang w:val="de-DE"/>
              </w:rPr>
              <w:t>treff</w:t>
            </w:r>
            <w:r>
              <w:rPr>
                <w:rFonts w:ascii="Arial" w:hAnsi="Arial" w:eastAsia="Arial" w:cs="Arial"/>
                <w:sz w:val="22"/>
                <w:szCs w:val="22"/>
                <w:bdr w:val="nil"/>
                <w:lang w:val="de-DE"/>
              </w:rPr>
              <w:t>en, Zugang zu</w:t>
            </w:r>
            <w:r w:rsidR="00786C47">
              <w:rPr>
                <w:rFonts w:ascii="Arial" w:hAnsi="Arial" w:eastAsia="Arial" w:cs="Arial"/>
                <w:sz w:val="22"/>
                <w:szCs w:val="22"/>
                <w:bdr w:val="nil"/>
                <w:lang w:val="de-DE"/>
              </w:rPr>
              <w:t xml:space="preserve"> de</w:t>
            </w:r>
            <w:r>
              <w:rPr>
                <w:rFonts w:ascii="Arial" w:hAnsi="Arial" w:eastAsia="Arial" w:cs="Arial"/>
                <w:sz w:val="22"/>
                <w:szCs w:val="22"/>
                <w:bdr w:val="nil"/>
                <w:lang w:val="de-DE"/>
              </w:rPr>
              <w:t>n Verfassungsgericht</w:t>
            </w:r>
            <w:r w:rsidR="00786C47">
              <w:rPr>
                <w:rFonts w:ascii="Arial" w:hAnsi="Arial" w:eastAsia="Arial" w:cs="Arial"/>
                <w:sz w:val="22"/>
                <w:szCs w:val="22"/>
                <w:bdr w:val="nil"/>
                <w:lang w:val="de-DE"/>
              </w:rPr>
              <w:t>en</w:t>
            </w:r>
            <w:r>
              <w:rPr>
                <w:rFonts w:ascii="Arial" w:hAnsi="Arial" w:eastAsia="Arial" w:cs="Arial"/>
                <w:sz w:val="22"/>
                <w:szCs w:val="22"/>
                <w:bdr w:val="nil"/>
                <w:lang w:val="de-DE"/>
              </w:rPr>
              <w:t xml:space="preserve"> zu geben. Auf internationaler Ebene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das Recht haben, Fälle vor internationale oder regionale Gerichte und vor die Ausschüsse zu bringen, die sich mit Individual- oder Sammelbeschwerden befassen, </w:t>
            </w:r>
            <w:r w:rsidR="00536C2A">
              <w:rPr>
                <w:rFonts w:ascii="Arial" w:hAnsi="Arial" w:eastAsia="Arial" w:cs="Arial"/>
                <w:sz w:val="22"/>
                <w:szCs w:val="22"/>
                <w:bdr w:val="nil"/>
                <w:lang w:val="de-DE"/>
              </w:rPr>
              <w:t xml:space="preserve">beispielsweise </w:t>
            </w:r>
            <w:r w:rsidR="00786C47">
              <w:rPr>
                <w:rFonts w:ascii="Arial" w:hAnsi="Arial" w:eastAsia="Arial" w:cs="Arial"/>
                <w:sz w:val="22"/>
                <w:szCs w:val="22"/>
                <w:bdr w:val="nil"/>
                <w:lang w:val="de-DE"/>
              </w:rPr>
              <w:t xml:space="preserve">den </w:t>
            </w:r>
            <w:r>
              <w:rPr>
                <w:rFonts w:ascii="Arial" w:hAnsi="Arial" w:eastAsia="Arial" w:cs="Arial"/>
                <w:sz w:val="22"/>
                <w:szCs w:val="22"/>
                <w:bdr w:val="nil"/>
                <w:lang w:val="de-DE"/>
              </w:rPr>
              <w:t xml:space="preserve">Ausschuss für soziale Rechte des Europarats oder </w:t>
            </w:r>
            <w:r w:rsidR="00786C47">
              <w:rPr>
                <w:rFonts w:ascii="Arial" w:hAnsi="Arial" w:eastAsia="Arial" w:cs="Arial"/>
                <w:sz w:val="22"/>
                <w:szCs w:val="22"/>
                <w:bdr w:val="nil"/>
                <w:lang w:val="de-DE"/>
              </w:rPr>
              <w:t xml:space="preserve">den </w:t>
            </w:r>
            <w:r>
              <w:rPr>
                <w:rFonts w:ascii="Arial" w:hAnsi="Arial" w:eastAsia="Arial" w:cs="Arial"/>
                <w:sz w:val="22"/>
                <w:szCs w:val="22"/>
                <w:bdr w:val="nil"/>
                <w:lang w:val="de-DE"/>
              </w:rPr>
              <w:t>UN-Ausschuss für die Beseitigung der Rassendiskriminierung.</w:t>
            </w:r>
          </w:p>
        </w:tc>
      </w:tr>
      <w:tr w:rsidRPr="00046FAE" w:rsidR="00D8651C" w:rsidTr="00C0685F" w14:paraId="5D22CE1C" w14:textId="77777777">
        <w:tc>
          <w:tcPr>
            <w:tcW w:w="10112" w:type="dxa"/>
            <w:gridSpan w:val="2"/>
          </w:tcPr>
          <w:p w:rsidRPr="006C29B1" w:rsidR="00DD016F" w:rsidP="0058116B" w:rsidRDefault="00781974" w14:paraId="048428ED" w14:textId="1A7F6B17">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w:t>
            </w:r>
            <w:r w:rsidR="005B2CA6">
              <w:rPr>
                <w:rFonts w:ascii="Arial" w:hAnsi="Arial" w:eastAsia="Arial" w:cs="Arial"/>
                <w:sz w:val="22"/>
                <w:szCs w:val="22"/>
                <w:bdr w:val="nil"/>
                <w:lang w:val="de-DE"/>
              </w:rPr>
              <w:t>müssen befugt sein</w:t>
            </w:r>
            <w:r w:rsidR="0078680C">
              <w:rPr>
                <w:rFonts w:ascii="Arial" w:hAnsi="Arial" w:eastAsia="Arial" w:cs="Arial"/>
                <w:sz w:val="22"/>
                <w:szCs w:val="22"/>
                <w:bdr w:val="nil"/>
                <w:lang w:val="de-DE"/>
              </w:rPr>
              <w:t xml:space="preserve">, im eigenen Namen Fälle zu vertreten, bei denen eine </w:t>
            </w:r>
            <w:r w:rsidR="005B2CA6">
              <w:rPr>
                <w:rFonts w:ascii="Arial" w:hAnsi="Arial" w:eastAsia="Arial" w:cs="Arial"/>
                <w:sz w:val="22"/>
                <w:szCs w:val="22"/>
                <w:bdr w:val="nil"/>
                <w:lang w:val="de-DE"/>
              </w:rPr>
              <w:t xml:space="preserve">ganze </w:t>
            </w:r>
            <w:r w:rsidR="0078680C">
              <w:rPr>
                <w:rFonts w:ascii="Arial" w:hAnsi="Arial" w:eastAsia="Arial" w:cs="Arial"/>
                <w:sz w:val="22"/>
                <w:szCs w:val="22"/>
                <w:bdr w:val="nil"/>
                <w:lang w:val="de-DE"/>
              </w:rPr>
              <w:t xml:space="preserve">Kategorie von Personen diskriminiert wird und es </w:t>
            </w:r>
            <w:r w:rsidR="005B2CA6">
              <w:rPr>
                <w:rFonts w:ascii="Arial" w:hAnsi="Arial" w:eastAsia="Arial" w:cs="Arial"/>
                <w:sz w:val="22"/>
                <w:szCs w:val="22"/>
                <w:bdr w:val="nil"/>
                <w:lang w:val="de-DE"/>
              </w:rPr>
              <w:t xml:space="preserve">daher </w:t>
            </w:r>
            <w:r w:rsidR="0078680C">
              <w:rPr>
                <w:rFonts w:ascii="Arial" w:hAnsi="Arial" w:eastAsia="Arial" w:cs="Arial"/>
                <w:sz w:val="22"/>
                <w:szCs w:val="22"/>
                <w:bdr w:val="nil"/>
                <w:lang w:val="de-DE"/>
              </w:rPr>
              <w:t xml:space="preserve">keinen individuellen Beschwerdeführer gibt. Ein Beispiel wäre der Aufruf zu Hass </w:t>
            </w:r>
            <w:r w:rsidR="005B2CA6">
              <w:rPr>
                <w:rFonts w:ascii="Arial" w:hAnsi="Arial" w:eastAsia="Arial" w:cs="Arial"/>
                <w:sz w:val="22"/>
                <w:szCs w:val="22"/>
                <w:bdr w:val="nil"/>
                <w:lang w:val="de-DE"/>
              </w:rPr>
              <w:t xml:space="preserve">durch einen </w:t>
            </w:r>
            <w:r w:rsidR="0078680C">
              <w:rPr>
                <w:rFonts w:ascii="Arial" w:hAnsi="Arial" w:eastAsia="Arial" w:cs="Arial"/>
                <w:sz w:val="22"/>
                <w:szCs w:val="22"/>
                <w:bdr w:val="nil"/>
                <w:lang w:val="de-DE"/>
              </w:rPr>
              <w:t>Politiker gegen alle LGBT-Personen. Die</w:t>
            </w:r>
            <w:r w:rsidR="005B2CA6">
              <w:rPr>
                <w:rFonts w:ascii="Arial" w:hAnsi="Arial" w:eastAsia="Arial" w:cs="Arial"/>
                <w:sz w:val="22"/>
                <w:szCs w:val="22"/>
                <w:bdr w:val="nil"/>
                <w:lang w:val="de-DE"/>
              </w:rPr>
              <w:t>selbe Kompetenz</w:t>
            </w:r>
            <w:r w:rsidR="0078680C">
              <w:rPr>
                <w:rFonts w:ascii="Arial" w:hAnsi="Arial" w:eastAsia="Arial" w:cs="Arial"/>
                <w:sz w:val="22"/>
                <w:szCs w:val="22"/>
                <w:bdr w:val="nil"/>
                <w:lang w:val="de-DE"/>
              </w:rPr>
              <w:t xml:space="preserve"> ist erforderlich, wenn eine Person Diskriminierung und Intoleranz ausgesetzt ist</w:t>
            </w:r>
            <w:r w:rsidR="00536C2A">
              <w:rPr>
                <w:rFonts w:ascii="Arial" w:hAnsi="Arial" w:eastAsia="Arial" w:cs="Arial"/>
                <w:sz w:val="22"/>
                <w:szCs w:val="22"/>
                <w:bdr w:val="nil"/>
                <w:lang w:val="de-DE"/>
              </w:rPr>
              <w:t>, sich aber</w:t>
            </w:r>
            <w:r w:rsidR="0078680C">
              <w:rPr>
                <w:rFonts w:ascii="Arial" w:hAnsi="Arial" w:eastAsia="Arial" w:cs="Arial"/>
                <w:sz w:val="22"/>
                <w:szCs w:val="22"/>
                <w:bdr w:val="nil"/>
                <w:lang w:val="de-DE"/>
              </w:rPr>
              <w:t xml:space="preserve"> nicht in der Lage fühlt, </w:t>
            </w:r>
            <w:r w:rsidR="005B2CA6">
              <w:rPr>
                <w:rFonts w:ascii="Arial" w:hAnsi="Arial" w:eastAsia="Arial" w:cs="Arial"/>
                <w:sz w:val="22"/>
                <w:szCs w:val="22"/>
                <w:bdr w:val="nil"/>
                <w:lang w:val="de-DE"/>
              </w:rPr>
              <w:t xml:space="preserve">ein Verfahren </w:t>
            </w:r>
            <w:r w:rsidR="0078680C">
              <w:rPr>
                <w:rFonts w:ascii="Arial" w:hAnsi="Arial" w:eastAsia="Arial" w:cs="Arial"/>
                <w:sz w:val="22"/>
                <w:szCs w:val="22"/>
                <w:bdr w:val="nil"/>
                <w:lang w:val="de-DE"/>
              </w:rPr>
              <w:t xml:space="preserve">im eigenen Namen </w:t>
            </w:r>
            <w:r w:rsidR="005B2CA6">
              <w:rPr>
                <w:rFonts w:ascii="Arial" w:hAnsi="Arial" w:eastAsia="Arial" w:cs="Arial"/>
                <w:sz w:val="22"/>
                <w:szCs w:val="22"/>
                <w:bdr w:val="nil"/>
                <w:lang w:val="de-DE"/>
              </w:rPr>
              <w:t>anhängig zu machen</w:t>
            </w:r>
            <w:r w:rsidR="0078680C">
              <w:rPr>
                <w:rFonts w:ascii="Arial" w:hAnsi="Arial" w:eastAsia="Arial" w:cs="Arial"/>
                <w:sz w:val="22"/>
                <w:szCs w:val="22"/>
                <w:bdr w:val="nil"/>
                <w:lang w:val="de-DE"/>
              </w:rPr>
              <w:t xml:space="preserve">, z. B. in Bereichen, in denen Menschen Angst vor Viktimisierung haben. Die Mitgliedstaaten sollten alle verfügbaren Ansätze prüfen, um den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diese </w:t>
            </w:r>
            <w:r w:rsidR="005B2CA6">
              <w:rPr>
                <w:rFonts w:ascii="Arial" w:hAnsi="Arial" w:eastAsia="Arial" w:cs="Arial"/>
                <w:sz w:val="22"/>
                <w:szCs w:val="22"/>
                <w:bdr w:val="nil"/>
                <w:lang w:val="de-DE"/>
              </w:rPr>
              <w:t xml:space="preserve">Kompetenz </w:t>
            </w:r>
            <w:r w:rsidR="0078680C">
              <w:rPr>
                <w:rFonts w:ascii="Arial" w:hAnsi="Arial" w:eastAsia="Arial" w:cs="Arial"/>
                <w:sz w:val="22"/>
                <w:szCs w:val="22"/>
                <w:bdr w:val="nil"/>
                <w:lang w:val="de-DE"/>
              </w:rPr>
              <w:t xml:space="preserve">zu übertragen. </w:t>
            </w:r>
          </w:p>
        </w:tc>
      </w:tr>
      <w:tr w:rsidRPr="00046FAE" w:rsidR="00D8651C" w:rsidTr="00C0685F" w14:paraId="7C95BD14" w14:textId="77777777">
        <w:tc>
          <w:tcPr>
            <w:tcW w:w="10112" w:type="dxa"/>
            <w:gridSpan w:val="2"/>
          </w:tcPr>
          <w:p w:rsidRPr="006C29B1" w:rsidR="00DD016F" w:rsidP="0058116B" w:rsidRDefault="0078680C" w14:paraId="1B49E2FD" w14:textId="1A7AD15E">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Institutionen,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w:t>
            </w:r>
            <w:r w:rsidR="00952CCE">
              <w:rPr>
                <w:rFonts w:ascii="Arial" w:hAnsi="Arial" w:eastAsia="Arial" w:cs="Arial"/>
                <w:sz w:val="22"/>
                <w:szCs w:val="22"/>
                <w:bdr w:val="nil"/>
                <w:lang w:val="de-DE"/>
              </w:rPr>
              <w:t>n</w:t>
            </w:r>
            <w:r>
              <w:rPr>
                <w:rFonts w:ascii="Arial" w:hAnsi="Arial" w:eastAsia="Arial" w:cs="Arial"/>
                <w:sz w:val="22"/>
                <w:szCs w:val="22"/>
                <w:bdr w:val="nil"/>
                <w:lang w:val="de-DE"/>
              </w:rPr>
              <w:t xml:space="preserve"> und Gerichte sollten das Fachwissen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für ihre Verfahren nutzen.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sollten ihrerseits das Recht haben, in diese</w:t>
            </w:r>
            <w:r w:rsidR="005B2CA6">
              <w:rPr>
                <w:rFonts w:ascii="Arial" w:hAnsi="Arial" w:eastAsia="Arial" w:cs="Arial"/>
                <w:sz w:val="22"/>
                <w:szCs w:val="22"/>
                <w:bdr w:val="nil"/>
                <w:lang w:val="de-DE"/>
              </w:rPr>
              <w:t>n</w:t>
            </w:r>
            <w:r>
              <w:rPr>
                <w:rFonts w:ascii="Arial" w:hAnsi="Arial" w:eastAsia="Arial" w:cs="Arial"/>
                <w:sz w:val="22"/>
                <w:szCs w:val="22"/>
                <w:bdr w:val="nil"/>
                <w:lang w:val="de-DE"/>
              </w:rPr>
              <w:t xml:space="preserve"> Verfahren </w:t>
            </w:r>
            <w:r w:rsidR="005B2CA6">
              <w:rPr>
                <w:rFonts w:ascii="Arial" w:hAnsi="Arial" w:eastAsia="Arial" w:cs="Arial"/>
                <w:sz w:val="22"/>
                <w:szCs w:val="22"/>
                <w:bdr w:val="nil"/>
                <w:lang w:val="de-DE"/>
              </w:rPr>
              <w:t>zu intervenieren</w:t>
            </w:r>
            <w:r>
              <w:rPr>
                <w:rFonts w:ascii="Arial" w:hAnsi="Arial" w:eastAsia="Arial" w:cs="Arial"/>
                <w:sz w:val="22"/>
                <w:szCs w:val="22"/>
                <w:bdr w:val="nil"/>
                <w:lang w:val="de-DE"/>
              </w:rPr>
              <w:t>, wenn sie der Meinung sind, ihr Fachwissen könnte</w:t>
            </w:r>
            <w:r w:rsidR="005B2CA6">
              <w:rPr>
                <w:rFonts w:ascii="Arial" w:hAnsi="Arial" w:eastAsia="Arial" w:cs="Arial"/>
                <w:sz w:val="22"/>
                <w:szCs w:val="22"/>
                <w:bdr w:val="nil"/>
                <w:lang w:val="de-DE"/>
              </w:rPr>
              <w:t xml:space="preserve"> für</w:t>
            </w:r>
            <w:r>
              <w:rPr>
                <w:rFonts w:ascii="Arial" w:hAnsi="Arial" w:eastAsia="Arial" w:cs="Arial"/>
                <w:sz w:val="22"/>
                <w:szCs w:val="22"/>
                <w:bdr w:val="nil"/>
                <w:lang w:val="de-DE"/>
              </w:rPr>
              <w:t xml:space="preserve"> die Bearbeitung des Falles </w:t>
            </w:r>
            <w:r w:rsidR="005B2CA6">
              <w:rPr>
                <w:rFonts w:ascii="Arial" w:hAnsi="Arial" w:eastAsia="Arial" w:cs="Arial"/>
                <w:sz w:val="22"/>
                <w:szCs w:val="22"/>
                <w:bdr w:val="nil"/>
                <w:lang w:val="de-DE"/>
              </w:rPr>
              <w:t>hilfreich sein</w:t>
            </w:r>
            <w:r>
              <w:rPr>
                <w:rFonts w:ascii="Arial" w:hAnsi="Arial" w:eastAsia="Arial" w:cs="Arial"/>
                <w:sz w:val="22"/>
                <w:szCs w:val="22"/>
                <w:bdr w:val="nil"/>
                <w:lang w:val="de-DE"/>
              </w:rPr>
              <w:t xml:space="preserve">. </w:t>
            </w:r>
          </w:p>
        </w:tc>
      </w:tr>
      <w:tr w:rsidRPr="00C0685F" w:rsidR="00D8651C" w:rsidTr="00C0685F" w14:paraId="2E8A1072" w14:textId="77777777">
        <w:tc>
          <w:tcPr>
            <w:tcW w:w="10112" w:type="dxa"/>
            <w:gridSpan w:val="2"/>
          </w:tcPr>
          <w:p w:rsidRPr="00C0685F" w:rsidR="00DD016F" w:rsidP="0058116B" w:rsidRDefault="0078680C" w14:paraId="178398D0" w14:textId="442210F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bookmarkStart w:name="_Ref476234327" w:id="53"/>
            <w:r>
              <w:rPr>
                <w:rFonts w:ascii="Arial" w:hAnsi="Arial" w:eastAsia="Arial" w:cs="Arial"/>
                <w:sz w:val="22"/>
                <w:szCs w:val="22"/>
                <w:bdr w:val="nil"/>
                <w:lang w:val="de-DE"/>
              </w:rPr>
              <w:t xml:space="preserve">Es gibt rechtlich festgelegte Verfahren für die </w:t>
            </w:r>
            <w:r w:rsidR="00B05DF2">
              <w:rPr>
                <w:rFonts w:ascii="Arial" w:hAnsi="Arial" w:eastAsia="Arial" w:cs="Arial"/>
                <w:sz w:val="22"/>
                <w:szCs w:val="22"/>
                <w:bdr w:val="nil"/>
                <w:lang w:val="de-DE"/>
              </w:rPr>
              <w:t xml:space="preserve">Vollstreckung </w:t>
            </w:r>
            <w:r>
              <w:rPr>
                <w:rFonts w:ascii="Arial" w:hAnsi="Arial" w:eastAsia="Arial" w:cs="Arial"/>
                <w:sz w:val="22"/>
                <w:szCs w:val="22"/>
                <w:bdr w:val="nil"/>
                <w:lang w:val="de-DE"/>
              </w:rPr>
              <w:t xml:space="preserve">der Entscheidungen von Gerichten, </w:t>
            </w:r>
            <w:r w:rsidR="00952CCE">
              <w:rPr>
                <w:rFonts w:ascii="Arial" w:hAnsi="Arial" w:eastAsia="Arial" w:cs="Arial"/>
                <w:sz w:val="22"/>
                <w:szCs w:val="22"/>
                <w:bdr w:val="nil"/>
                <w:lang w:val="de-DE"/>
              </w:rPr>
              <w:t>Entscheidungsinstanz</w:t>
            </w:r>
            <w:r w:rsidRPr="00B05DF2" w:rsidR="00B05DF2">
              <w:rPr>
                <w:rFonts w:ascii="Arial" w:hAnsi="Arial" w:eastAsia="Arial" w:cs="Arial"/>
                <w:sz w:val="22"/>
                <w:szCs w:val="22"/>
                <w:bdr w:val="nil"/>
                <w:lang w:val="de-DE"/>
              </w:rPr>
              <w:t>en</w:t>
            </w:r>
            <w:r>
              <w:rPr>
                <w:rFonts w:ascii="Arial" w:hAnsi="Arial" w:eastAsia="Arial" w:cs="Arial"/>
                <w:sz w:val="22"/>
                <w:szCs w:val="22"/>
                <w:bdr w:val="nil"/>
                <w:lang w:val="de-DE"/>
              </w:rPr>
              <w:t xml:space="preserve"> und Institutionen. </w:t>
            </w:r>
            <w:r w:rsidR="00536C2A">
              <w:rPr>
                <w:rFonts w:ascii="Arial" w:hAnsi="Arial" w:eastAsia="Arial" w:cs="Arial"/>
                <w:sz w:val="22"/>
                <w:szCs w:val="22"/>
                <w:bdr w:val="nil"/>
                <w:lang w:val="de-DE"/>
              </w:rPr>
              <w:t xml:space="preserve">Daneben verbleibt ein </w:t>
            </w:r>
            <w:r>
              <w:rPr>
                <w:rFonts w:ascii="Arial" w:hAnsi="Arial" w:eastAsia="Arial" w:cs="Arial"/>
                <w:sz w:val="22"/>
                <w:szCs w:val="22"/>
                <w:bdr w:val="nil"/>
                <w:lang w:val="de-DE"/>
              </w:rPr>
              <w:t xml:space="preserve">Raum für zusätzliche </w:t>
            </w:r>
            <w:r w:rsidR="00536C2A">
              <w:rPr>
                <w:rFonts w:ascii="Arial" w:hAnsi="Arial" w:eastAsia="Arial" w:cs="Arial"/>
                <w:sz w:val="22"/>
                <w:szCs w:val="22"/>
                <w:bdr w:val="nil"/>
                <w:lang w:val="de-DE"/>
              </w:rPr>
              <w:t xml:space="preserve">Aktivitäten </w:t>
            </w:r>
            <w:r>
              <w:rPr>
                <w:rFonts w:ascii="Arial" w:hAnsi="Arial" w:eastAsia="Arial" w:cs="Arial"/>
                <w:sz w:val="22"/>
                <w:szCs w:val="22"/>
                <w:bdr w:val="nil"/>
                <w:lang w:val="de-DE"/>
              </w:rPr>
              <w:t xml:space="preserve">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um die Umsetzung </w:t>
            </w:r>
            <w:r w:rsidR="005B2CA6">
              <w:rPr>
                <w:rFonts w:ascii="Arial" w:hAnsi="Arial" w:eastAsia="Arial" w:cs="Arial"/>
                <w:sz w:val="22"/>
                <w:szCs w:val="22"/>
                <w:bdr w:val="nil"/>
                <w:lang w:val="de-DE"/>
              </w:rPr>
              <w:t xml:space="preserve">solcher </w:t>
            </w:r>
            <w:r>
              <w:rPr>
                <w:rFonts w:ascii="Arial" w:hAnsi="Arial" w:eastAsia="Arial" w:cs="Arial"/>
                <w:sz w:val="22"/>
                <w:szCs w:val="22"/>
                <w:bdr w:val="nil"/>
                <w:lang w:val="de-DE"/>
              </w:rPr>
              <w:t xml:space="preserve">Entscheidungen zu </w:t>
            </w:r>
            <w:r w:rsidR="005B2CA6">
              <w:rPr>
                <w:rFonts w:ascii="Arial" w:hAnsi="Arial" w:eastAsia="Arial" w:cs="Arial"/>
                <w:sz w:val="22"/>
                <w:szCs w:val="22"/>
                <w:bdr w:val="nil"/>
                <w:lang w:val="de-DE"/>
              </w:rPr>
              <w:t>fördern</w:t>
            </w:r>
            <w:r>
              <w:rPr>
                <w:rFonts w:ascii="Arial" w:hAnsi="Arial" w:eastAsia="Arial" w:cs="Arial"/>
                <w:sz w:val="22"/>
                <w:szCs w:val="22"/>
                <w:bdr w:val="nil"/>
                <w:lang w:val="de-DE"/>
              </w:rPr>
              <w:t xml:space="preserve">. Diese können </w:t>
            </w:r>
            <w:r w:rsidR="00536C2A">
              <w:rPr>
                <w:rFonts w:ascii="Arial" w:hAnsi="Arial" w:eastAsia="Arial" w:cs="Arial"/>
                <w:sz w:val="22"/>
                <w:szCs w:val="22"/>
                <w:bdr w:val="nil"/>
                <w:lang w:val="de-DE"/>
              </w:rPr>
              <w:t>eine</w:t>
            </w:r>
            <w:r>
              <w:rPr>
                <w:rFonts w:ascii="Arial" w:hAnsi="Arial" w:eastAsia="Arial" w:cs="Arial"/>
                <w:sz w:val="22"/>
                <w:szCs w:val="22"/>
                <w:bdr w:val="nil"/>
                <w:lang w:val="de-DE"/>
              </w:rPr>
              <w:t xml:space="preserve"> Korrespondenz mit Einzelpersonen, Organen oder Institutionen einschließen, an die diese Entscheidungen gerichtet sind, </w:t>
            </w:r>
            <w:r w:rsidR="00536C2A">
              <w:rPr>
                <w:rFonts w:ascii="Arial" w:hAnsi="Arial" w:eastAsia="Arial" w:cs="Arial"/>
                <w:sz w:val="22"/>
                <w:szCs w:val="22"/>
                <w:bdr w:val="nil"/>
                <w:lang w:val="de-DE"/>
              </w:rPr>
              <w:t xml:space="preserve">ebenso </w:t>
            </w:r>
            <w:r>
              <w:rPr>
                <w:rFonts w:ascii="Arial" w:hAnsi="Arial" w:eastAsia="Arial" w:cs="Arial"/>
                <w:sz w:val="22"/>
                <w:szCs w:val="22"/>
                <w:bdr w:val="nil"/>
                <w:lang w:val="de-DE"/>
              </w:rPr>
              <w:t xml:space="preserve">eine Beratung dieser Personen, Organe und Institutionen, </w:t>
            </w:r>
            <w:r w:rsidR="005B2CA6">
              <w:rPr>
                <w:rFonts w:ascii="Arial" w:hAnsi="Arial" w:eastAsia="Arial" w:cs="Arial"/>
                <w:sz w:val="22"/>
                <w:szCs w:val="22"/>
                <w:bdr w:val="nil"/>
                <w:lang w:val="de-DE"/>
              </w:rPr>
              <w:t>Ortsbesichtigungen</w:t>
            </w:r>
            <w:r>
              <w:rPr>
                <w:rFonts w:ascii="Arial" w:hAnsi="Arial" w:eastAsia="Arial" w:cs="Arial"/>
                <w:sz w:val="22"/>
                <w:szCs w:val="22"/>
                <w:bdr w:val="nil"/>
                <w:lang w:val="de-DE"/>
              </w:rPr>
              <w:t xml:space="preserve"> und gemeinsame Maßnahmen mit anderen relevanten </w:t>
            </w:r>
            <w:r w:rsidR="005B2CA6">
              <w:rPr>
                <w:rFonts w:ascii="Arial" w:hAnsi="Arial" w:eastAsia="Arial" w:cs="Arial"/>
                <w:sz w:val="22"/>
                <w:szCs w:val="22"/>
                <w:bdr w:val="nil"/>
                <w:lang w:val="de-DE"/>
              </w:rPr>
              <w:t>Stellen</w:t>
            </w:r>
            <w:r w:rsidR="00536C2A">
              <w:rPr>
                <w:rFonts w:ascii="Arial" w:hAnsi="Arial" w:eastAsia="Arial" w:cs="Arial"/>
                <w:sz w:val="22"/>
                <w:szCs w:val="22"/>
                <w:bdr w:val="nil"/>
                <w:lang w:val="de-DE"/>
              </w:rPr>
              <w:t xml:space="preserve"> wie</w:t>
            </w:r>
            <w:r>
              <w:rPr>
                <w:rFonts w:ascii="Arial" w:hAnsi="Arial" w:eastAsia="Arial" w:cs="Arial"/>
                <w:sz w:val="22"/>
                <w:szCs w:val="22"/>
                <w:bdr w:val="nil"/>
                <w:lang w:val="de-DE"/>
              </w:rPr>
              <w:t xml:space="preserve"> </w:t>
            </w:r>
            <w:r w:rsidR="00536C2A">
              <w:rPr>
                <w:rFonts w:ascii="Arial" w:hAnsi="Arial" w:eastAsia="Arial" w:cs="Arial"/>
                <w:sz w:val="22"/>
                <w:szCs w:val="22"/>
                <w:bdr w:val="nil"/>
                <w:lang w:val="de-DE"/>
              </w:rPr>
              <w:t>z.B.</w:t>
            </w:r>
            <w:r>
              <w:rPr>
                <w:rFonts w:ascii="Arial" w:hAnsi="Arial" w:eastAsia="Arial" w:cs="Arial"/>
                <w:sz w:val="22"/>
                <w:szCs w:val="22"/>
                <w:bdr w:val="nil"/>
                <w:lang w:val="de-DE"/>
              </w:rPr>
              <w:t xml:space="preserve"> Aufsichtsbehörden</w:t>
            </w:r>
            <w:r w:rsidR="00536C2A">
              <w:rPr>
                <w:rFonts w:ascii="Arial" w:hAnsi="Arial" w:eastAsia="Arial" w:cs="Arial"/>
                <w:sz w:val="22"/>
                <w:szCs w:val="22"/>
                <w:bdr w:val="nil"/>
                <w:lang w:val="de-DE"/>
              </w:rPr>
              <w:t>,</w:t>
            </w:r>
            <w:r>
              <w:rPr>
                <w:rFonts w:ascii="Arial" w:hAnsi="Arial" w:eastAsia="Arial" w:cs="Arial"/>
                <w:sz w:val="22"/>
                <w:szCs w:val="22"/>
                <w:bdr w:val="nil"/>
                <w:lang w:val="de-DE"/>
              </w:rPr>
              <w:t xml:space="preserve"> um die Umsetzung der Entscheidungen sicherzustellen. Nachverfolgungsmaßnahmen sollten zeitnah und systematisch durchgeführt werden.</w:t>
            </w:r>
            <w:bookmarkEnd w:id="53"/>
          </w:p>
        </w:tc>
      </w:tr>
      <w:tr w:rsidRPr="00046FAE" w:rsidR="00D8651C" w:rsidTr="00C0685F" w14:paraId="3D4C26DB" w14:textId="77777777">
        <w:tc>
          <w:tcPr>
            <w:tcW w:w="10112" w:type="dxa"/>
            <w:gridSpan w:val="2"/>
          </w:tcPr>
          <w:p w:rsidRPr="006353CB" w:rsidR="00DD016F" w:rsidP="005B4190" w:rsidRDefault="00786C47" w14:paraId="01A5B7B1" w14:textId="2DD35BDF">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_Ref486587295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15</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58116B" w:rsidRDefault="00534CAF" w14:paraId="4D849F59" w14:textId="74B151E8">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Parallel zur</w:t>
            </w:r>
            <w:r w:rsidR="0078680C">
              <w:rPr>
                <w:rFonts w:ascii="Arial" w:hAnsi="Arial" w:eastAsia="Arial" w:cs="Arial"/>
                <w:sz w:val="22"/>
                <w:szCs w:val="22"/>
                <w:bdr w:val="nil"/>
                <w:lang w:val="de-DE"/>
              </w:rPr>
              <w:t xml:space="preserve"> Unterstützung einzelner Beschwerdeführer sollten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auch eine </w:t>
            </w:r>
            <w:r>
              <w:rPr>
                <w:rFonts w:ascii="Arial" w:hAnsi="Arial" w:eastAsia="Arial" w:cs="Arial"/>
                <w:sz w:val="22"/>
                <w:szCs w:val="22"/>
                <w:bdr w:val="nil"/>
                <w:lang w:val="de-DE"/>
              </w:rPr>
              <w:t>Politik</w:t>
            </w:r>
            <w:r w:rsidR="0078680C">
              <w:rPr>
                <w:rFonts w:ascii="Arial" w:hAnsi="Arial" w:eastAsia="Arial" w:cs="Arial"/>
                <w:sz w:val="22"/>
                <w:szCs w:val="22"/>
                <w:bdr w:val="nil"/>
                <w:lang w:val="de-DE"/>
              </w:rPr>
              <w:t xml:space="preserve"> für </w:t>
            </w:r>
            <w:r>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 xml:space="preserve">strategische Prozessführung ausarbeiten und </w:t>
            </w:r>
            <w:r w:rsidR="00B00B5C">
              <w:rPr>
                <w:rFonts w:ascii="Arial" w:hAnsi="Arial" w:eastAsia="Arial" w:cs="Arial"/>
                <w:sz w:val="22"/>
                <w:szCs w:val="22"/>
                <w:bdr w:val="nil"/>
                <w:lang w:val="de-DE"/>
              </w:rPr>
              <w:t xml:space="preserve">in die Tat </w:t>
            </w:r>
            <w:r w:rsidR="0078680C">
              <w:rPr>
                <w:rFonts w:ascii="Arial" w:hAnsi="Arial" w:eastAsia="Arial" w:cs="Arial"/>
                <w:sz w:val="22"/>
                <w:szCs w:val="22"/>
                <w:bdr w:val="nil"/>
                <w:lang w:val="de-DE"/>
              </w:rPr>
              <w:t xml:space="preserve">umsetzen. Die strategische Prozessführung besteht aus dem Identifizieren und sorgfältigen Auswählen von Fällen für Prozesse, um die Rechte von Personengruppen, die sich in einer ähnlichen Lage befinden, zu klären, zu fördern und zu schützen, </w:t>
            </w:r>
            <w:r>
              <w:rPr>
                <w:rFonts w:ascii="Arial" w:hAnsi="Arial" w:eastAsia="Arial" w:cs="Arial"/>
                <w:sz w:val="22"/>
                <w:szCs w:val="22"/>
                <w:bdr w:val="nil"/>
                <w:lang w:val="de-DE"/>
              </w:rPr>
              <w:t>aus der Erzeugung</w:t>
            </w:r>
            <w:r w:rsidR="0078680C">
              <w:rPr>
                <w:rFonts w:ascii="Arial" w:hAnsi="Arial" w:eastAsia="Arial" w:cs="Arial"/>
                <w:sz w:val="22"/>
                <w:szCs w:val="22"/>
                <w:bdr w:val="nil"/>
                <w:lang w:val="de-DE"/>
              </w:rPr>
              <w:t xml:space="preserve"> eine</w:t>
            </w:r>
            <w:r>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breiten </w:t>
            </w:r>
            <w:r w:rsidR="0078680C">
              <w:rPr>
                <w:rFonts w:ascii="Arial" w:hAnsi="Arial" w:eastAsia="Arial" w:cs="Arial"/>
                <w:sz w:val="22"/>
                <w:szCs w:val="22"/>
                <w:bdr w:val="nil"/>
                <w:lang w:val="de-DE"/>
              </w:rPr>
              <w:t>öffentliche</w:t>
            </w:r>
            <w:r>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Aufmerksamkeit </w:t>
            </w:r>
            <w:r>
              <w:rPr>
                <w:rFonts w:ascii="Arial" w:hAnsi="Arial" w:eastAsia="Arial" w:cs="Arial"/>
                <w:sz w:val="22"/>
                <w:szCs w:val="22"/>
                <w:bdr w:val="nil"/>
                <w:lang w:val="de-DE"/>
              </w:rPr>
              <w:t xml:space="preserve">für diese Fälle und aus der weiten Verbreitung der Ergebnisse dieser Fälle, z.B. </w:t>
            </w:r>
            <w:r w:rsidR="0078680C">
              <w:rPr>
                <w:rFonts w:ascii="Arial" w:hAnsi="Arial" w:eastAsia="Arial" w:cs="Arial"/>
                <w:sz w:val="22"/>
                <w:szCs w:val="22"/>
                <w:bdr w:val="nil"/>
                <w:lang w:val="de-DE"/>
              </w:rPr>
              <w:t xml:space="preserve">durch die Medien. Im Bereich </w:t>
            </w:r>
            <w:r>
              <w:rPr>
                <w:rFonts w:ascii="Arial" w:hAnsi="Arial" w:eastAsia="Arial" w:cs="Arial"/>
                <w:sz w:val="22"/>
                <w:szCs w:val="22"/>
                <w:bdr w:val="nil"/>
                <w:lang w:val="de-DE"/>
              </w:rPr>
              <w:t xml:space="preserve">der </w:t>
            </w:r>
            <w:r w:rsidR="0078680C">
              <w:rPr>
                <w:rFonts w:ascii="Arial" w:hAnsi="Arial" w:eastAsia="Arial" w:cs="Arial"/>
                <w:sz w:val="22"/>
                <w:szCs w:val="22"/>
                <w:bdr w:val="nil"/>
                <w:lang w:val="de-DE"/>
              </w:rPr>
              <w:t>Gleich</w:t>
            </w:r>
            <w:r>
              <w:rPr>
                <w:rFonts w:ascii="Arial" w:hAnsi="Arial" w:eastAsia="Arial" w:cs="Arial"/>
                <w:sz w:val="22"/>
                <w:szCs w:val="22"/>
                <w:bdr w:val="nil"/>
                <w:lang w:val="de-DE"/>
              </w:rPr>
              <w:t>heit</w:t>
            </w:r>
            <w:r w:rsidR="0078680C">
              <w:rPr>
                <w:rFonts w:ascii="Arial" w:hAnsi="Arial" w:eastAsia="Arial" w:cs="Arial"/>
                <w:sz w:val="22"/>
                <w:szCs w:val="22"/>
                <w:bdr w:val="nil"/>
                <w:lang w:val="de-DE"/>
              </w:rPr>
              <w:t xml:space="preserve"> verfolgt die strategische Prozessführung die folgenden Ziele: (i) Generieren </w:t>
            </w:r>
            <w:r>
              <w:rPr>
                <w:rFonts w:ascii="Arial" w:hAnsi="Arial" w:eastAsia="Arial" w:cs="Arial"/>
                <w:sz w:val="22"/>
                <w:szCs w:val="22"/>
                <w:bdr w:val="nil"/>
                <w:lang w:val="de-DE"/>
              </w:rPr>
              <w:t>gerichtlicher Entscheidungen</w:t>
            </w:r>
            <w:r w:rsidR="0078680C">
              <w:rPr>
                <w:rFonts w:ascii="Arial" w:hAnsi="Arial" w:eastAsia="Arial" w:cs="Arial"/>
                <w:sz w:val="22"/>
                <w:szCs w:val="22"/>
                <w:bdr w:val="nil"/>
                <w:lang w:val="de-DE"/>
              </w:rPr>
              <w:t>, die die Auslegung der Gleichbehandlung</w:t>
            </w:r>
            <w:r>
              <w:rPr>
                <w:rFonts w:ascii="Arial" w:hAnsi="Arial" w:eastAsia="Arial" w:cs="Arial"/>
                <w:sz w:val="22"/>
                <w:szCs w:val="22"/>
                <w:bdr w:val="nil"/>
                <w:lang w:val="de-DE"/>
              </w:rPr>
              <w:t>sgesetzgebung</w:t>
            </w:r>
            <w:r w:rsidR="0078680C">
              <w:rPr>
                <w:rFonts w:ascii="Arial" w:hAnsi="Arial" w:eastAsia="Arial" w:cs="Arial"/>
                <w:sz w:val="22"/>
                <w:szCs w:val="22"/>
                <w:bdr w:val="nil"/>
                <w:lang w:val="de-DE"/>
              </w:rPr>
              <w:t xml:space="preserve"> klärt, (ii) Gewährleistung einer kritischen Masse an Rechtsprechung zu den verschiedenen Diskriminierungsgründen, (iii) Entwicklung einer Rechtsprechung zu Fragen der stru</w:t>
            </w:r>
            <w:r w:rsidR="006C29B1">
              <w:rPr>
                <w:rFonts w:ascii="Arial" w:hAnsi="Arial" w:eastAsia="Arial" w:cs="Arial"/>
                <w:sz w:val="22"/>
                <w:szCs w:val="22"/>
                <w:bdr w:val="nil"/>
                <w:lang w:val="de-DE"/>
              </w:rPr>
              <w:t>kturellen Diskriminierung, (iv) </w:t>
            </w:r>
            <w:r w:rsidR="0078680C">
              <w:rPr>
                <w:rFonts w:ascii="Arial" w:hAnsi="Arial" w:eastAsia="Arial" w:cs="Arial"/>
                <w:sz w:val="22"/>
                <w:szCs w:val="22"/>
                <w:bdr w:val="nil"/>
                <w:lang w:val="de-DE"/>
              </w:rPr>
              <w:t>Generieren öffentliche</w:t>
            </w:r>
            <w:r>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Aufmerksamkeit und </w:t>
            </w:r>
            <w:r>
              <w:rPr>
                <w:rFonts w:ascii="Arial" w:hAnsi="Arial" w:eastAsia="Arial" w:cs="Arial"/>
                <w:sz w:val="22"/>
                <w:szCs w:val="22"/>
                <w:bdr w:val="nil"/>
                <w:lang w:val="de-DE"/>
              </w:rPr>
              <w:t xml:space="preserve">Nutzung </w:t>
            </w:r>
            <w:r w:rsidR="0078680C">
              <w:rPr>
                <w:rFonts w:ascii="Arial" w:hAnsi="Arial" w:eastAsia="Arial" w:cs="Arial"/>
                <w:sz w:val="22"/>
                <w:szCs w:val="22"/>
                <w:bdr w:val="nil"/>
                <w:lang w:val="de-DE"/>
              </w:rPr>
              <w:t xml:space="preserve">dieser Aufmerksamkeit, um Personen und Institutionen für ihre Verpflichtungen </w:t>
            </w:r>
            <w:r>
              <w:rPr>
                <w:rFonts w:ascii="Arial" w:hAnsi="Arial" w:eastAsia="Arial" w:cs="Arial"/>
                <w:sz w:val="22"/>
                <w:szCs w:val="22"/>
                <w:bdr w:val="nil"/>
                <w:lang w:val="de-DE"/>
              </w:rPr>
              <w:t xml:space="preserve">nach der </w:t>
            </w:r>
            <w:r w:rsidR="0078680C">
              <w:rPr>
                <w:rFonts w:ascii="Arial" w:hAnsi="Arial" w:eastAsia="Arial" w:cs="Arial"/>
                <w:sz w:val="22"/>
                <w:szCs w:val="22"/>
                <w:bdr w:val="nil"/>
                <w:lang w:val="de-DE"/>
              </w:rPr>
              <w:t>Gleich</w:t>
            </w:r>
            <w:r>
              <w:rPr>
                <w:rFonts w:ascii="Arial" w:hAnsi="Arial" w:eastAsia="Arial" w:cs="Arial"/>
                <w:sz w:val="22"/>
                <w:szCs w:val="22"/>
                <w:bdr w:val="nil"/>
                <w:lang w:val="de-DE"/>
              </w:rPr>
              <w:t>heits</w:t>
            </w:r>
            <w:r w:rsidR="0078680C">
              <w:rPr>
                <w:rFonts w:ascii="Arial" w:hAnsi="Arial" w:eastAsia="Arial" w:cs="Arial"/>
                <w:sz w:val="22"/>
                <w:szCs w:val="22"/>
                <w:bdr w:val="nil"/>
                <w:lang w:val="de-DE"/>
              </w:rPr>
              <w:t>gesetz</w:t>
            </w:r>
            <w:r>
              <w:rPr>
                <w:rFonts w:ascii="Arial" w:hAnsi="Arial" w:eastAsia="Arial" w:cs="Arial"/>
                <w:sz w:val="22"/>
                <w:szCs w:val="22"/>
                <w:bdr w:val="nil"/>
                <w:lang w:val="de-DE"/>
              </w:rPr>
              <w:t>gebung zu sensibilisieren</w:t>
            </w:r>
            <w:r w:rsidR="0078680C">
              <w:rPr>
                <w:rFonts w:ascii="Arial" w:hAnsi="Arial" w:eastAsia="Arial" w:cs="Arial"/>
                <w:sz w:val="22"/>
                <w:szCs w:val="22"/>
                <w:bdr w:val="nil"/>
                <w:lang w:val="de-DE"/>
              </w:rPr>
              <w:t xml:space="preserve"> und (v) Motiv</w:t>
            </w:r>
            <w:r>
              <w:rPr>
                <w:rFonts w:ascii="Arial" w:hAnsi="Arial" w:eastAsia="Arial" w:cs="Arial"/>
                <w:sz w:val="22"/>
                <w:szCs w:val="22"/>
                <w:bdr w:val="nil"/>
                <w:lang w:val="de-DE"/>
              </w:rPr>
              <w:t>ation</w:t>
            </w:r>
            <w:r w:rsidR="0078680C">
              <w:rPr>
                <w:rFonts w:ascii="Arial" w:hAnsi="Arial" w:eastAsia="Arial" w:cs="Arial"/>
                <w:sz w:val="22"/>
                <w:szCs w:val="22"/>
                <w:bdr w:val="nil"/>
                <w:lang w:val="de-DE"/>
              </w:rPr>
              <w:t xml:space="preserve"> von Personen und Institutionen, diese Verpflichtungen zu respektieren und </w:t>
            </w:r>
            <w:r>
              <w:rPr>
                <w:rFonts w:ascii="Arial" w:hAnsi="Arial" w:eastAsia="Arial" w:cs="Arial"/>
                <w:sz w:val="22"/>
                <w:szCs w:val="22"/>
                <w:bdr w:val="nil"/>
                <w:lang w:val="de-DE"/>
              </w:rPr>
              <w:t xml:space="preserve">zum </w:t>
            </w:r>
            <w:r w:rsidR="0078680C">
              <w:rPr>
                <w:rFonts w:ascii="Arial" w:hAnsi="Arial" w:eastAsia="Arial" w:cs="Arial"/>
                <w:sz w:val="22"/>
                <w:szCs w:val="22"/>
                <w:bdr w:val="nil"/>
                <w:lang w:val="de-DE"/>
              </w:rPr>
              <w:t xml:space="preserve">gesellschaftlichen Wandel </w:t>
            </w:r>
            <w:r>
              <w:rPr>
                <w:rFonts w:ascii="Arial" w:hAnsi="Arial" w:eastAsia="Arial" w:cs="Arial"/>
                <w:sz w:val="22"/>
                <w:szCs w:val="22"/>
                <w:bdr w:val="nil"/>
                <w:lang w:val="de-DE"/>
              </w:rPr>
              <w:t>beizutragen</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Durch solche</w:t>
            </w:r>
            <w:r w:rsidR="0078680C">
              <w:rPr>
                <w:rFonts w:ascii="Arial" w:hAnsi="Arial" w:eastAsia="Arial" w:cs="Arial"/>
                <w:sz w:val="22"/>
                <w:szCs w:val="22"/>
                <w:bdr w:val="nil"/>
                <w:lang w:val="de-DE"/>
              </w:rPr>
              <w:t xml:space="preserve"> strategischen Prozess</w:t>
            </w:r>
            <w:r>
              <w:rPr>
                <w:rFonts w:ascii="Arial" w:hAnsi="Arial" w:eastAsia="Arial" w:cs="Arial"/>
                <w:sz w:val="22"/>
                <w:szCs w:val="22"/>
                <w:bdr w:val="nil"/>
                <w:lang w:val="de-DE"/>
              </w:rPr>
              <w:t>e</w:t>
            </w:r>
            <w:r w:rsidR="0078680C">
              <w:rPr>
                <w:rFonts w:ascii="Arial" w:hAnsi="Arial" w:eastAsia="Arial" w:cs="Arial"/>
                <w:sz w:val="22"/>
                <w:szCs w:val="22"/>
                <w:bdr w:val="nil"/>
                <w:lang w:val="de-DE"/>
              </w:rPr>
              <w:t xml:space="preserve"> und die Berichterstattung </w:t>
            </w:r>
            <w:r>
              <w:rPr>
                <w:rFonts w:ascii="Arial" w:hAnsi="Arial" w:eastAsia="Arial" w:cs="Arial"/>
                <w:sz w:val="22"/>
                <w:szCs w:val="22"/>
                <w:bdr w:val="nil"/>
                <w:lang w:val="de-DE"/>
              </w:rPr>
              <w:t xml:space="preserve">darüber </w:t>
            </w:r>
            <w:r w:rsidR="0078680C">
              <w:rPr>
                <w:rFonts w:ascii="Arial" w:hAnsi="Arial" w:eastAsia="Arial" w:cs="Arial"/>
                <w:sz w:val="22"/>
                <w:szCs w:val="22"/>
                <w:bdr w:val="nil"/>
                <w:lang w:val="de-DE"/>
              </w:rPr>
              <w:t xml:space="preserve">in den Medien können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die Situation von Gruppen</w:t>
            </w:r>
            <w:r w:rsidR="00B00B5C">
              <w:rPr>
                <w:rFonts w:ascii="Arial" w:hAnsi="Arial" w:eastAsia="Arial" w:cs="Arial"/>
                <w:sz w:val="22"/>
                <w:szCs w:val="22"/>
                <w:bdr w:val="nil"/>
                <w:lang w:val="de-DE"/>
              </w:rPr>
              <w:t xml:space="preserve"> </w:t>
            </w:r>
            <w:r w:rsidR="00B00B5C">
              <w:rPr>
                <w:rFonts w:ascii="Arial" w:hAnsi="Arial" w:eastAsia="Arial" w:cs="Arial"/>
                <w:sz w:val="22"/>
                <w:szCs w:val="22"/>
                <w:bdr w:val="nil"/>
                <w:lang w:val="de-DE"/>
              </w:rPr>
              <w:lastRenderedPageBreak/>
              <w:t>erheblich</w:t>
            </w:r>
            <w:r w:rsidR="0078680C">
              <w:rPr>
                <w:rFonts w:ascii="Arial" w:hAnsi="Arial" w:eastAsia="Arial" w:cs="Arial"/>
                <w:sz w:val="22"/>
                <w:szCs w:val="22"/>
                <w:bdr w:val="nil"/>
                <w:lang w:val="de-DE"/>
              </w:rPr>
              <w:t xml:space="preserve"> verbessern, die Diskriminierung und Intoleranz ausgesetzt sind, und d</w:t>
            </w:r>
            <w:r>
              <w:rPr>
                <w:rFonts w:ascii="Arial" w:hAnsi="Arial" w:eastAsia="Arial" w:cs="Arial"/>
                <w:sz w:val="22"/>
                <w:szCs w:val="22"/>
                <w:bdr w:val="nil"/>
                <w:lang w:val="de-DE"/>
              </w:rPr>
              <w:t xml:space="preserve">ie Wirkung </w:t>
            </w:r>
            <w:r w:rsidR="0078680C">
              <w:rPr>
                <w:rFonts w:ascii="Arial" w:hAnsi="Arial" w:eastAsia="Arial" w:cs="Arial"/>
                <w:sz w:val="22"/>
                <w:szCs w:val="22"/>
                <w:bdr w:val="nil"/>
                <w:lang w:val="de-DE"/>
              </w:rPr>
              <w:t xml:space="preserve">ihrer </w:t>
            </w:r>
            <w:r>
              <w:rPr>
                <w:rFonts w:ascii="Arial" w:hAnsi="Arial" w:eastAsia="Arial" w:cs="Arial"/>
                <w:sz w:val="22"/>
                <w:szCs w:val="22"/>
                <w:bdr w:val="nil"/>
                <w:lang w:val="de-DE"/>
              </w:rPr>
              <w:t>Unterstützungsmaßnah</w:t>
            </w:r>
            <w:r w:rsidR="0078680C">
              <w:rPr>
                <w:rFonts w:ascii="Arial" w:hAnsi="Arial" w:eastAsia="Arial" w:cs="Arial"/>
                <w:sz w:val="22"/>
                <w:szCs w:val="22"/>
                <w:bdr w:val="nil"/>
                <w:lang w:val="de-DE"/>
              </w:rPr>
              <w:t xml:space="preserve">men erhöhen. </w:t>
            </w:r>
          </w:p>
          <w:p w:rsidRPr="006C29B1" w:rsidR="00DD016F" w:rsidP="0058116B" w:rsidRDefault="0078680C" w14:paraId="73E1ECF3" w14:textId="3C9D961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bookmarkStart w:name="_Ref482625812" w:id="54"/>
            <w:r>
              <w:rPr>
                <w:rFonts w:ascii="Arial" w:hAnsi="Arial" w:eastAsia="Arial" w:cs="Arial"/>
                <w:sz w:val="22"/>
                <w:szCs w:val="22"/>
                <w:bdr w:val="nil"/>
                <w:lang w:val="de-DE"/>
              </w:rPr>
              <w:t xml:space="preserve">Da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immer mehr Beschwerden erhalten, ist es ihnen unmöglich, alle Personen zu vertreten, die sich an sie wenden. </w:t>
            </w:r>
            <w:r w:rsidR="00534CAF">
              <w:rPr>
                <w:rFonts w:ascii="Arial" w:hAnsi="Arial" w:eastAsia="Arial" w:cs="Arial"/>
                <w:sz w:val="22"/>
                <w:szCs w:val="22"/>
                <w:bdr w:val="nil"/>
                <w:lang w:val="de-DE"/>
              </w:rPr>
              <w:t xml:space="preserve">Während </w:t>
            </w:r>
            <w:r>
              <w:rPr>
                <w:rFonts w:ascii="Arial" w:hAnsi="Arial" w:eastAsia="Arial" w:cs="Arial"/>
                <w:sz w:val="22"/>
                <w:szCs w:val="22"/>
                <w:bdr w:val="nil"/>
                <w:lang w:val="de-DE"/>
              </w:rPr>
              <w:t>sie allen Beschwerdeführern eine erste Hilfe anbieten und</w:t>
            </w:r>
            <w:r w:rsidR="00534CAF">
              <w:rPr>
                <w:rFonts w:ascii="Arial" w:hAnsi="Arial" w:eastAsia="Arial" w:cs="Arial"/>
                <w:sz w:val="22"/>
                <w:szCs w:val="22"/>
                <w:bdr w:val="nil"/>
                <w:lang w:val="de-DE"/>
              </w:rPr>
              <w:t xml:space="preserve"> diese möglichst</w:t>
            </w:r>
            <w:r>
              <w:rPr>
                <w:rFonts w:ascii="Arial" w:hAnsi="Arial" w:eastAsia="Arial" w:cs="Arial"/>
                <w:sz w:val="22"/>
                <w:szCs w:val="22"/>
                <w:bdr w:val="nil"/>
                <w:lang w:val="de-DE"/>
              </w:rPr>
              <w:t xml:space="preserve"> an andere zuständige Institutionen verweisen</w:t>
            </w:r>
            <w:r w:rsidR="00534CAF">
              <w:rPr>
                <w:rFonts w:ascii="Arial" w:hAnsi="Arial" w:eastAsia="Arial" w:cs="Arial"/>
                <w:sz w:val="22"/>
                <w:szCs w:val="22"/>
                <w:bdr w:val="nil"/>
                <w:lang w:val="de-DE"/>
              </w:rPr>
              <w:t xml:space="preserve"> sollten</w:t>
            </w:r>
            <w:r>
              <w:rPr>
                <w:rFonts w:ascii="Arial" w:hAnsi="Arial" w:eastAsia="Arial" w:cs="Arial"/>
                <w:sz w:val="22"/>
                <w:szCs w:val="22"/>
                <w:bdr w:val="nil"/>
                <w:lang w:val="de-DE"/>
              </w:rPr>
              <w:t xml:space="preserve">, sollten sie die Möglichkeit </w:t>
            </w:r>
            <w:r w:rsidR="00B00B5C">
              <w:rPr>
                <w:rFonts w:ascii="Arial" w:hAnsi="Arial" w:eastAsia="Arial" w:cs="Arial"/>
                <w:sz w:val="22"/>
                <w:szCs w:val="22"/>
                <w:bdr w:val="nil"/>
                <w:lang w:val="de-DE"/>
              </w:rPr>
              <w:t xml:space="preserve">dazu </w:t>
            </w:r>
            <w:r>
              <w:rPr>
                <w:rFonts w:ascii="Arial" w:hAnsi="Arial" w:eastAsia="Arial" w:cs="Arial"/>
                <w:sz w:val="22"/>
                <w:szCs w:val="22"/>
                <w:bdr w:val="nil"/>
                <w:lang w:val="de-DE"/>
              </w:rPr>
              <w:t xml:space="preserve">haben, bestimmten Fällen Priorität einzuräumen und </w:t>
            </w:r>
            <w:r w:rsidR="00534CAF">
              <w:rPr>
                <w:rFonts w:ascii="Arial" w:hAnsi="Arial" w:eastAsia="Arial" w:cs="Arial"/>
                <w:sz w:val="22"/>
                <w:szCs w:val="22"/>
                <w:bdr w:val="nil"/>
                <w:lang w:val="de-DE"/>
              </w:rPr>
              <w:t xml:space="preserve">in </w:t>
            </w:r>
            <w:r>
              <w:rPr>
                <w:rFonts w:ascii="Arial" w:hAnsi="Arial" w:eastAsia="Arial" w:cs="Arial"/>
                <w:sz w:val="22"/>
                <w:szCs w:val="22"/>
                <w:bdr w:val="nil"/>
                <w:lang w:val="de-DE"/>
              </w:rPr>
              <w:t>diese</w:t>
            </w:r>
            <w:r w:rsidR="00534CAF">
              <w:rPr>
                <w:rFonts w:ascii="Arial" w:hAnsi="Arial" w:eastAsia="Arial" w:cs="Arial"/>
                <w:sz w:val="22"/>
                <w:szCs w:val="22"/>
                <w:bdr w:val="nil"/>
                <w:lang w:val="de-DE"/>
              </w:rPr>
              <w:t>n</w:t>
            </w:r>
            <w:r>
              <w:rPr>
                <w:rFonts w:ascii="Arial" w:hAnsi="Arial" w:eastAsia="Arial" w:cs="Arial"/>
                <w:sz w:val="22"/>
                <w:szCs w:val="22"/>
                <w:bdr w:val="nil"/>
                <w:lang w:val="de-DE"/>
              </w:rPr>
              <w:t xml:space="preserve"> Fälle</w:t>
            </w:r>
            <w:r w:rsidR="00534CAF">
              <w:rPr>
                <w:rFonts w:ascii="Arial" w:hAnsi="Arial" w:eastAsia="Arial" w:cs="Arial"/>
                <w:sz w:val="22"/>
                <w:szCs w:val="22"/>
                <w:bdr w:val="nil"/>
                <w:lang w:val="de-DE"/>
              </w:rPr>
              <w:t>n die rechtliche Vertretung zu übernehmen</w:t>
            </w:r>
            <w:r>
              <w:rPr>
                <w:rFonts w:ascii="Arial" w:hAnsi="Arial" w:eastAsia="Arial" w:cs="Arial"/>
                <w:sz w:val="22"/>
                <w:szCs w:val="22"/>
                <w:bdr w:val="nil"/>
                <w:lang w:val="de-DE"/>
              </w:rPr>
              <w:t>. Dies ermöglich</w:t>
            </w:r>
            <w:r w:rsidR="00534CAF">
              <w:rPr>
                <w:rFonts w:ascii="Arial" w:hAnsi="Arial" w:eastAsia="Arial" w:cs="Arial"/>
                <w:sz w:val="22"/>
                <w:szCs w:val="22"/>
                <w:bdr w:val="nil"/>
                <w:lang w:val="de-DE"/>
              </w:rPr>
              <w:t>t es ihn</w:t>
            </w:r>
            <w:r>
              <w:rPr>
                <w:rFonts w:ascii="Arial" w:hAnsi="Arial" w:eastAsia="Arial" w:cs="Arial"/>
                <w:sz w:val="22"/>
                <w:szCs w:val="22"/>
                <w:bdr w:val="nil"/>
                <w:lang w:val="de-DE"/>
              </w:rPr>
              <w:t>en, ihre Ressourcen möglichst effektiv zu nutzen und strategische Prozess</w:t>
            </w:r>
            <w:r w:rsidR="00534CAF">
              <w:rPr>
                <w:rFonts w:ascii="Arial" w:hAnsi="Arial" w:eastAsia="Arial" w:cs="Arial"/>
                <w:sz w:val="22"/>
                <w:szCs w:val="22"/>
                <w:bdr w:val="nil"/>
                <w:lang w:val="de-DE"/>
              </w:rPr>
              <w:t>e zu führen</w:t>
            </w:r>
            <w:r>
              <w:rPr>
                <w:rFonts w:ascii="Arial" w:hAnsi="Arial" w:eastAsia="Arial" w:cs="Arial"/>
                <w:sz w:val="22"/>
                <w:szCs w:val="22"/>
                <w:bdr w:val="nil"/>
                <w:lang w:val="de-DE"/>
              </w:rPr>
              <w:t xml:space="preserve">. Zur Gewährleistung von Transparenz und </w:t>
            </w:r>
            <w:r w:rsidR="00534CAF">
              <w:rPr>
                <w:rFonts w:ascii="Arial" w:hAnsi="Arial" w:eastAsia="Arial" w:cs="Arial"/>
                <w:sz w:val="22"/>
                <w:szCs w:val="22"/>
                <w:bdr w:val="nil"/>
                <w:lang w:val="de-DE"/>
              </w:rPr>
              <w:t>Konsistenz</w:t>
            </w:r>
            <w:r>
              <w:rPr>
                <w:rFonts w:ascii="Arial" w:hAnsi="Arial" w:eastAsia="Arial" w:cs="Arial"/>
                <w:sz w:val="22"/>
                <w:szCs w:val="22"/>
                <w:bdr w:val="nil"/>
                <w:lang w:val="de-DE"/>
              </w:rPr>
              <w:t xml:space="preserve"> sollten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die Kriterien veröffentlichen, auf d</w:t>
            </w:r>
            <w:r w:rsidR="00534CAF">
              <w:rPr>
                <w:rFonts w:ascii="Arial" w:hAnsi="Arial" w:eastAsia="Arial" w:cs="Arial"/>
                <w:sz w:val="22"/>
                <w:szCs w:val="22"/>
                <w:bdr w:val="nil"/>
                <w:lang w:val="de-DE"/>
              </w:rPr>
              <w:t>ie sie</w:t>
            </w:r>
            <w:r>
              <w:rPr>
                <w:rFonts w:ascii="Arial" w:hAnsi="Arial" w:eastAsia="Arial" w:cs="Arial"/>
                <w:sz w:val="22"/>
                <w:szCs w:val="22"/>
                <w:bdr w:val="nil"/>
                <w:lang w:val="de-DE"/>
              </w:rPr>
              <w:t xml:space="preserve"> diese Auswahl </w:t>
            </w:r>
            <w:r w:rsidR="00534CAF">
              <w:rPr>
                <w:rFonts w:ascii="Arial" w:hAnsi="Arial" w:eastAsia="Arial" w:cs="Arial"/>
                <w:sz w:val="22"/>
                <w:szCs w:val="22"/>
                <w:bdr w:val="nil"/>
                <w:lang w:val="de-DE"/>
              </w:rPr>
              <w:t>stützen</w:t>
            </w:r>
            <w:r>
              <w:rPr>
                <w:rFonts w:ascii="Arial" w:hAnsi="Arial" w:eastAsia="Arial" w:cs="Arial"/>
                <w:sz w:val="22"/>
                <w:szCs w:val="22"/>
                <w:bdr w:val="nil"/>
                <w:lang w:val="de-DE"/>
              </w:rPr>
              <w:t>.</w:t>
            </w:r>
            <w:bookmarkEnd w:id="54"/>
            <w:r>
              <w:rPr>
                <w:rFonts w:ascii="Arial" w:hAnsi="Arial" w:eastAsia="Arial" w:cs="Arial"/>
                <w:sz w:val="22"/>
                <w:szCs w:val="22"/>
                <w:bdr w:val="nil"/>
                <w:lang w:val="de-DE"/>
              </w:rPr>
              <w:t xml:space="preserve"> </w:t>
            </w:r>
          </w:p>
        </w:tc>
      </w:tr>
      <w:tr w:rsidRPr="00046FAE" w:rsidR="00D8651C" w:rsidTr="00C0685F" w14:paraId="04FF6B0A" w14:textId="77777777">
        <w:tc>
          <w:tcPr>
            <w:tcW w:w="10112" w:type="dxa"/>
            <w:gridSpan w:val="2"/>
          </w:tcPr>
          <w:p w:rsidRPr="006353CB" w:rsidR="00DD016F" w:rsidP="005B4190" w:rsidRDefault="00786C47" w14:paraId="2D7B6DB6" w14:textId="41895723">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lastRenderedPageBreak/>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_Ref486587312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16</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58116B" w:rsidRDefault="0078680C" w14:paraId="732CA3E6" w14:textId="0247F68B">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Menschen, die Diskriminierung und Intoleranz </w:t>
            </w:r>
            <w:r w:rsidR="00534CAF">
              <w:rPr>
                <w:rFonts w:ascii="Arial" w:hAnsi="Arial" w:eastAsia="Arial" w:cs="Arial"/>
                <w:sz w:val="22"/>
                <w:szCs w:val="22"/>
                <w:bdr w:val="nil"/>
                <w:lang w:val="de-DE"/>
              </w:rPr>
              <w:t>ausgesetzt sind</w:t>
            </w:r>
            <w:r>
              <w:rPr>
                <w:rFonts w:ascii="Arial" w:hAnsi="Arial" w:eastAsia="Arial" w:cs="Arial"/>
                <w:sz w:val="22"/>
                <w:szCs w:val="22"/>
                <w:bdr w:val="nil"/>
                <w:lang w:val="de-DE"/>
              </w:rPr>
              <w:t xml:space="preserve">, sind häufig nicht in der Lage, die Kosten und das finanzielle Risiko von Verfahren zu tragen, die zur </w:t>
            </w:r>
            <w:r w:rsidR="00534CAF">
              <w:rPr>
                <w:rFonts w:ascii="Arial" w:hAnsi="Arial" w:eastAsia="Arial" w:cs="Arial"/>
                <w:sz w:val="22"/>
                <w:szCs w:val="22"/>
                <w:bdr w:val="nil"/>
                <w:lang w:val="de-DE"/>
              </w:rPr>
              <w:t xml:space="preserve">Wahrung </w:t>
            </w:r>
            <w:r>
              <w:rPr>
                <w:rFonts w:ascii="Arial" w:hAnsi="Arial" w:eastAsia="Arial" w:cs="Arial"/>
                <w:sz w:val="22"/>
                <w:szCs w:val="22"/>
                <w:bdr w:val="nil"/>
                <w:lang w:val="de-DE"/>
              </w:rPr>
              <w:t xml:space="preserve">ihrer Rechte eingeleitet werden. </w:t>
            </w:r>
            <w:r w:rsidR="00B00B5C">
              <w:rPr>
                <w:rFonts w:ascii="Arial" w:hAnsi="Arial" w:eastAsia="Arial" w:cs="Arial"/>
                <w:sz w:val="22"/>
                <w:szCs w:val="22"/>
                <w:bdr w:val="nil"/>
                <w:lang w:val="de-DE"/>
              </w:rPr>
              <w:t xml:space="preserve">Solche </w:t>
            </w:r>
            <w:r>
              <w:rPr>
                <w:rFonts w:ascii="Arial" w:hAnsi="Arial" w:eastAsia="Arial" w:cs="Arial"/>
                <w:sz w:val="22"/>
                <w:szCs w:val="22"/>
                <w:bdr w:val="nil"/>
                <w:lang w:val="de-DE"/>
              </w:rPr>
              <w:t>Fälle durchlaufen häufig mehrere Instanzen, insbesondere Fälle struktureller Diskriminierung und Fälle, die für die strategische Prozessführung ausgewählt werden. Die Kosten und finanziellen Risiken sind u.a. (i) Gerichts- und Verwaltungs</w:t>
            </w:r>
            <w:r w:rsidR="00534CAF">
              <w:rPr>
                <w:rFonts w:ascii="Arial" w:hAnsi="Arial" w:eastAsia="Arial" w:cs="Arial"/>
                <w:sz w:val="22"/>
                <w:szCs w:val="22"/>
                <w:bdr w:val="nil"/>
                <w:lang w:val="de-DE"/>
              </w:rPr>
              <w:t xml:space="preserve">kosten; </w:t>
            </w:r>
            <w:r>
              <w:rPr>
                <w:rFonts w:ascii="Arial" w:hAnsi="Arial" w:eastAsia="Arial" w:cs="Arial"/>
                <w:sz w:val="22"/>
                <w:szCs w:val="22"/>
                <w:bdr w:val="nil"/>
                <w:lang w:val="de-DE"/>
              </w:rPr>
              <w:t xml:space="preserve">(ii) die </w:t>
            </w:r>
            <w:r w:rsidR="00B00B5C">
              <w:rPr>
                <w:rFonts w:ascii="Arial" w:hAnsi="Arial" w:eastAsia="Arial" w:cs="Arial"/>
                <w:sz w:val="22"/>
                <w:szCs w:val="22"/>
                <w:bdr w:val="nil"/>
                <w:lang w:val="de-DE"/>
              </w:rPr>
              <w:t xml:space="preserve">Gebühren </w:t>
            </w:r>
            <w:r>
              <w:rPr>
                <w:rFonts w:ascii="Arial" w:hAnsi="Arial" w:eastAsia="Arial" w:cs="Arial"/>
                <w:sz w:val="22"/>
                <w:szCs w:val="22"/>
                <w:bdr w:val="nil"/>
                <w:lang w:val="de-DE"/>
              </w:rPr>
              <w:t>für den Rechts</w:t>
            </w:r>
            <w:r w:rsidR="00534CAF">
              <w:rPr>
                <w:rFonts w:ascii="Arial" w:hAnsi="Arial" w:eastAsia="Arial" w:cs="Arial"/>
                <w:sz w:val="22"/>
                <w:szCs w:val="22"/>
                <w:bdr w:val="nil"/>
                <w:lang w:val="de-DE"/>
              </w:rPr>
              <w:t>vertreter</w:t>
            </w:r>
            <w:r>
              <w:rPr>
                <w:rFonts w:ascii="Arial" w:hAnsi="Arial" w:eastAsia="Arial" w:cs="Arial"/>
                <w:sz w:val="22"/>
                <w:szCs w:val="22"/>
                <w:bdr w:val="nil"/>
                <w:lang w:val="de-DE"/>
              </w:rPr>
              <w:t xml:space="preserve"> des Beschwerdeführers und (iii) d</w:t>
            </w:r>
            <w:r w:rsidR="00534CAF">
              <w:rPr>
                <w:rFonts w:ascii="Arial" w:hAnsi="Arial" w:eastAsia="Arial" w:cs="Arial"/>
                <w:sz w:val="22"/>
                <w:szCs w:val="22"/>
                <w:bdr w:val="nil"/>
                <w:lang w:val="de-DE"/>
              </w:rPr>
              <w:t>as Risiko</w:t>
            </w:r>
            <w:r>
              <w:rPr>
                <w:rFonts w:ascii="Arial" w:hAnsi="Arial" w:eastAsia="Arial" w:cs="Arial"/>
                <w:sz w:val="22"/>
                <w:szCs w:val="22"/>
                <w:bdr w:val="nil"/>
                <w:lang w:val="de-DE"/>
              </w:rPr>
              <w:t>, die Anwalts</w:t>
            </w:r>
            <w:r w:rsidR="00B00B5C">
              <w:rPr>
                <w:rFonts w:ascii="Arial" w:hAnsi="Arial" w:eastAsia="Arial" w:cs="Arial"/>
                <w:sz w:val="22"/>
                <w:szCs w:val="22"/>
                <w:bdr w:val="nil"/>
                <w:lang w:val="de-DE"/>
              </w:rPr>
              <w:t>gebühren</w:t>
            </w:r>
            <w:r>
              <w:rPr>
                <w:rFonts w:ascii="Arial" w:hAnsi="Arial" w:eastAsia="Arial" w:cs="Arial"/>
                <w:sz w:val="22"/>
                <w:szCs w:val="22"/>
                <w:bdr w:val="nil"/>
                <w:lang w:val="de-DE"/>
              </w:rPr>
              <w:t xml:space="preserve"> der anderen Partei übernehmen zu müssen, </w:t>
            </w:r>
            <w:r w:rsidR="00534CAF">
              <w:rPr>
                <w:rFonts w:ascii="Arial" w:hAnsi="Arial" w:eastAsia="Arial" w:cs="Arial"/>
                <w:sz w:val="22"/>
                <w:szCs w:val="22"/>
                <w:bdr w:val="nil"/>
                <w:lang w:val="de-DE"/>
              </w:rPr>
              <w:t>falls d</w:t>
            </w:r>
            <w:r>
              <w:rPr>
                <w:rFonts w:ascii="Arial" w:hAnsi="Arial" w:eastAsia="Arial" w:cs="Arial"/>
                <w:sz w:val="22"/>
                <w:szCs w:val="22"/>
                <w:bdr w:val="nil"/>
                <w:lang w:val="de-DE"/>
              </w:rPr>
              <w:t xml:space="preserve">er Beschwerdeführer </w:t>
            </w:r>
            <w:r w:rsidR="00534CAF">
              <w:rPr>
                <w:rFonts w:ascii="Arial" w:hAnsi="Arial" w:eastAsia="Arial" w:cs="Arial"/>
                <w:sz w:val="22"/>
                <w:szCs w:val="22"/>
                <w:bdr w:val="nil"/>
                <w:lang w:val="de-DE"/>
              </w:rPr>
              <w:t>d</w:t>
            </w:r>
            <w:r>
              <w:rPr>
                <w:rFonts w:ascii="Arial" w:hAnsi="Arial" w:eastAsia="Arial" w:cs="Arial"/>
                <w:sz w:val="22"/>
                <w:szCs w:val="22"/>
                <w:bdr w:val="nil"/>
                <w:lang w:val="de-DE"/>
              </w:rPr>
              <w:t xml:space="preserve">en Fall verliert. </w:t>
            </w:r>
          </w:p>
          <w:p w:rsidRPr="006C29B1" w:rsidR="00DD016F" w:rsidP="00FE358E" w:rsidRDefault="0078680C" w14:paraId="1298A505" w14:textId="634C80A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Insbesondere </w:t>
            </w:r>
            <w:r w:rsidR="00B00B5C">
              <w:rPr>
                <w:rFonts w:ascii="Arial" w:hAnsi="Arial" w:eastAsia="Arial" w:cs="Arial"/>
                <w:sz w:val="22"/>
                <w:szCs w:val="22"/>
                <w:bdr w:val="nil"/>
                <w:lang w:val="de-DE"/>
              </w:rPr>
              <w:t>für</w:t>
            </w:r>
            <w:r>
              <w:rPr>
                <w:rFonts w:ascii="Arial" w:hAnsi="Arial" w:eastAsia="Arial" w:cs="Arial"/>
                <w:sz w:val="22"/>
                <w:szCs w:val="22"/>
                <w:bdr w:val="nil"/>
                <w:lang w:val="de-DE"/>
              </w:rPr>
              <w:t xml:space="preserve"> Fälle struktureller Diskriminierung und </w:t>
            </w:r>
            <w:r w:rsidR="00B00B5C">
              <w:rPr>
                <w:rFonts w:ascii="Arial" w:hAnsi="Arial" w:eastAsia="Arial" w:cs="Arial"/>
                <w:sz w:val="22"/>
                <w:szCs w:val="22"/>
                <w:bdr w:val="nil"/>
                <w:lang w:val="de-DE"/>
              </w:rPr>
              <w:t>für</w:t>
            </w:r>
            <w:r>
              <w:rPr>
                <w:rFonts w:ascii="Arial" w:hAnsi="Arial" w:eastAsia="Arial" w:cs="Arial"/>
                <w:sz w:val="22"/>
                <w:szCs w:val="22"/>
                <w:bdr w:val="nil"/>
                <w:lang w:val="de-DE"/>
              </w:rPr>
              <w:t xml:space="preserve"> Fälle, die für die strategische Prozessführung ausgewählt werden, sollte</w:t>
            </w:r>
            <w:r w:rsidR="00B344F7">
              <w:rPr>
                <w:rFonts w:ascii="Arial" w:hAnsi="Arial" w:eastAsia="Arial" w:cs="Arial"/>
                <w:sz w:val="22"/>
                <w:szCs w:val="22"/>
                <w:bdr w:val="nil"/>
                <w:lang w:val="de-DE"/>
              </w:rPr>
              <w:t xml:space="preserve"> ein System vorhanden sein, dass gewährleistet, </w:t>
            </w:r>
            <w:r>
              <w:rPr>
                <w:rFonts w:ascii="Arial" w:hAnsi="Arial" w:eastAsia="Arial" w:cs="Arial"/>
                <w:sz w:val="22"/>
                <w:szCs w:val="22"/>
                <w:bdr w:val="nil"/>
                <w:lang w:val="de-DE"/>
              </w:rPr>
              <w:t xml:space="preserve"> dass die Menschen, die Diskriminierung und Intoleranz ausgesetzt sind, diese</w:t>
            </w:r>
            <w:r w:rsidR="00B344F7">
              <w:rPr>
                <w:rFonts w:ascii="Arial" w:hAnsi="Arial" w:eastAsia="Arial" w:cs="Arial"/>
                <w:sz w:val="22"/>
                <w:szCs w:val="22"/>
                <w:bdr w:val="nil"/>
                <w:lang w:val="de-DE"/>
              </w:rPr>
              <w:t xml:space="preserve"> Kosten und</w:t>
            </w:r>
            <w:r>
              <w:rPr>
                <w:rFonts w:ascii="Arial" w:hAnsi="Arial" w:eastAsia="Arial" w:cs="Arial"/>
                <w:sz w:val="22"/>
                <w:szCs w:val="22"/>
                <w:bdr w:val="nil"/>
                <w:lang w:val="de-DE"/>
              </w:rPr>
              <w:t xml:space="preserve"> Gebühren nicht tragen müssen. Die Mitgliedstaaten können sich </w:t>
            </w:r>
            <w:r w:rsidR="00B00B5C">
              <w:rPr>
                <w:rFonts w:ascii="Arial" w:hAnsi="Arial" w:eastAsia="Arial" w:cs="Arial"/>
                <w:sz w:val="22"/>
                <w:szCs w:val="22"/>
                <w:bdr w:val="nil"/>
                <w:lang w:val="de-DE"/>
              </w:rPr>
              <w:t xml:space="preserve">insoweit </w:t>
            </w:r>
            <w:r>
              <w:rPr>
                <w:rFonts w:ascii="Arial" w:hAnsi="Arial" w:eastAsia="Arial" w:cs="Arial"/>
                <w:sz w:val="22"/>
                <w:szCs w:val="22"/>
                <w:bdr w:val="nil"/>
                <w:lang w:val="de-DE"/>
              </w:rPr>
              <w:t>durch bestehende guter Pra</w:t>
            </w:r>
            <w:r w:rsidR="00B344F7">
              <w:rPr>
                <w:rFonts w:ascii="Arial" w:hAnsi="Arial" w:eastAsia="Arial" w:cs="Arial"/>
                <w:sz w:val="22"/>
                <w:szCs w:val="22"/>
                <w:bdr w:val="nil"/>
                <w:lang w:val="de-DE"/>
              </w:rPr>
              <w:t>ktiken</w:t>
            </w:r>
            <w:r>
              <w:rPr>
                <w:rFonts w:ascii="Arial" w:hAnsi="Arial" w:eastAsia="Arial" w:cs="Arial"/>
                <w:sz w:val="22"/>
                <w:szCs w:val="22"/>
                <w:bdr w:val="nil"/>
                <w:lang w:val="de-DE"/>
              </w:rPr>
              <w:t xml:space="preserve"> inspirieren lassen und diese Situation </w:t>
            </w:r>
            <w:r w:rsidR="00B00B5C">
              <w:rPr>
                <w:rFonts w:ascii="Arial" w:hAnsi="Arial" w:eastAsia="Arial" w:cs="Arial"/>
                <w:sz w:val="22"/>
                <w:szCs w:val="22"/>
                <w:bdr w:val="nil"/>
                <w:lang w:val="de-DE"/>
              </w:rPr>
              <w:t>auf verschiedene</w:t>
            </w:r>
            <w:r>
              <w:rPr>
                <w:rFonts w:ascii="Arial" w:hAnsi="Arial" w:eastAsia="Arial" w:cs="Arial"/>
                <w:sz w:val="22"/>
                <w:szCs w:val="22"/>
                <w:bdr w:val="nil"/>
                <w:lang w:val="de-DE"/>
              </w:rPr>
              <w:t xml:space="preserve"> Weise angehen</w:t>
            </w:r>
            <w:r w:rsidR="00FE358E">
              <w:rPr>
                <w:rFonts w:ascii="Arial" w:hAnsi="Arial" w:eastAsia="Arial" w:cs="Arial"/>
                <w:sz w:val="22"/>
                <w:szCs w:val="22"/>
                <w:bdr w:val="nil"/>
                <w:lang w:val="de-DE"/>
              </w:rPr>
              <w:t>,</w:t>
            </w:r>
            <w:r>
              <w:rPr>
                <w:rFonts w:ascii="Arial" w:hAnsi="Arial" w:eastAsia="Arial" w:cs="Arial"/>
                <w:sz w:val="22"/>
                <w:szCs w:val="22"/>
                <w:bdr w:val="nil"/>
                <w:lang w:val="de-DE"/>
              </w:rPr>
              <w:t xml:space="preserve"> z.B.</w:t>
            </w:r>
            <w:r w:rsidR="00FE358E">
              <w:rPr>
                <w:rFonts w:ascii="Arial" w:hAnsi="Arial" w:eastAsia="Arial" w:cs="Arial"/>
                <w:sz w:val="22"/>
                <w:szCs w:val="22"/>
                <w:bdr w:val="nil"/>
                <w:lang w:val="de-DE"/>
              </w:rPr>
              <w:t xml:space="preserve"> indem sie</w:t>
            </w:r>
            <w:r>
              <w:rPr>
                <w:rFonts w:ascii="Arial" w:hAnsi="Arial" w:eastAsia="Arial" w:cs="Arial"/>
                <w:sz w:val="22"/>
                <w:szCs w:val="22"/>
                <w:bdr w:val="nil"/>
                <w:lang w:val="de-DE"/>
              </w:rPr>
              <w:t xml:space="preserve"> (i) Menschen, die Diskriminierung ausgesetzt sind, von Gerichtsgebühren freistellen; (ii) </w:t>
            </w:r>
            <w:r w:rsidR="00B00B5C">
              <w:rPr>
                <w:rFonts w:ascii="Arial" w:hAnsi="Arial" w:eastAsia="Arial" w:cs="Arial"/>
                <w:sz w:val="22"/>
                <w:szCs w:val="22"/>
                <w:bdr w:val="nil"/>
                <w:lang w:val="de-DE"/>
              </w:rPr>
              <w:t>für</w:t>
            </w:r>
            <w:r>
              <w:rPr>
                <w:rFonts w:ascii="Arial" w:hAnsi="Arial" w:eastAsia="Arial" w:cs="Arial"/>
                <w:sz w:val="22"/>
                <w:szCs w:val="22"/>
                <w:bdr w:val="nil"/>
                <w:lang w:val="de-DE"/>
              </w:rPr>
              <w:t xml:space="preserve"> Fälle von Diskriminierung </w:t>
            </w:r>
            <w:r w:rsidR="00B344F7">
              <w:rPr>
                <w:rFonts w:ascii="Arial" w:hAnsi="Arial" w:eastAsia="Arial" w:cs="Arial"/>
                <w:sz w:val="22"/>
                <w:szCs w:val="22"/>
                <w:bdr w:val="nil"/>
                <w:lang w:val="de-DE"/>
              </w:rPr>
              <w:t xml:space="preserve">eine Prozesskostenhilfe </w:t>
            </w:r>
            <w:r w:rsidR="00B00B5C">
              <w:rPr>
                <w:rFonts w:ascii="Arial" w:hAnsi="Arial" w:eastAsia="Arial" w:cs="Arial"/>
                <w:sz w:val="22"/>
                <w:szCs w:val="22"/>
                <w:bdr w:val="nil"/>
                <w:lang w:val="de-DE"/>
              </w:rPr>
              <w:t>vorsehen</w:t>
            </w:r>
            <w:r>
              <w:rPr>
                <w:rFonts w:ascii="Arial" w:hAnsi="Arial" w:eastAsia="Arial" w:cs="Arial"/>
                <w:sz w:val="22"/>
                <w:szCs w:val="22"/>
                <w:bdr w:val="nil"/>
                <w:lang w:val="de-DE"/>
              </w:rPr>
              <w:t xml:space="preserve">, die 100% der </w:t>
            </w:r>
            <w:r w:rsidR="00B344F7">
              <w:rPr>
                <w:rFonts w:ascii="Arial" w:hAnsi="Arial" w:eastAsia="Arial" w:cs="Arial"/>
                <w:sz w:val="22"/>
                <w:szCs w:val="22"/>
                <w:bdr w:val="nil"/>
                <w:lang w:val="de-DE"/>
              </w:rPr>
              <w:t xml:space="preserve">Kosten und </w:t>
            </w:r>
            <w:r>
              <w:rPr>
                <w:rFonts w:ascii="Arial" w:hAnsi="Arial" w:eastAsia="Arial" w:cs="Arial"/>
                <w:sz w:val="22"/>
                <w:szCs w:val="22"/>
                <w:bdr w:val="nil"/>
                <w:lang w:val="de-DE"/>
              </w:rPr>
              <w:t xml:space="preserve">Gebühren abdeckt; (iii)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ermächtigen</w:t>
            </w:r>
            <w:r w:rsidR="00FE358E">
              <w:rPr>
                <w:rFonts w:ascii="Arial" w:hAnsi="Arial" w:eastAsia="Arial" w:cs="Arial"/>
                <w:sz w:val="22"/>
                <w:szCs w:val="22"/>
                <w:bdr w:val="nil"/>
                <w:lang w:val="de-DE"/>
              </w:rPr>
              <w:t>,</w:t>
            </w:r>
            <w:r>
              <w:rPr>
                <w:rFonts w:ascii="Arial" w:hAnsi="Arial" w:eastAsia="Arial" w:cs="Arial"/>
                <w:sz w:val="22"/>
                <w:szCs w:val="22"/>
                <w:bdr w:val="nil"/>
                <w:lang w:val="de-DE"/>
              </w:rPr>
              <w:t xml:space="preserve"> Fälle </w:t>
            </w:r>
            <w:r w:rsidR="00B344F7">
              <w:rPr>
                <w:rFonts w:ascii="Arial" w:hAnsi="Arial" w:eastAsia="Arial" w:cs="Arial"/>
                <w:sz w:val="22"/>
                <w:szCs w:val="22"/>
                <w:bdr w:val="nil"/>
                <w:lang w:val="de-DE"/>
              </w:rPr>
              <w:t xml:space="preserve">zur </w:t>
            </w:r>
            <w:r>
              <w:rPr>
                <w:rFonts w:ascii="Arial" w:hAnsi="Arial" w:eastAsia="Arial" w:cs="Arial"/>
                <w:sz w:val="22"/>
                <w:szCs w:val="22"/>
                <w:bdr w:val="nil"/>
                <w:lang w:val="de-DE"/>
              </w:rPr>
              <w:t>„kostenlos</w:t>
            </w:r>
            <w:r w:rsidR="00B344F7">
              <w:rPr>
                <w:rFonts w:ascii="Arial" w:hAnsi="Arial" w:eastAsia="Arial" w:cs="Arial"/>
                <w:sz w:val="22"/>
                <w:szCs w:val="22"/>
                <w:bdr w:val="nil"/>
                <w:lang w:val="de-DE"/>
              </w:rPr>
              <w:t>en</w:t>
            </w:r>
            <w:r>
              <w:rPr>
                <w:rFonts w:ascii="Arial" w:hAnsi="Arial" w:eastAsia="Arial" w:cs="Arial"/>
                <w:sz w:val="22"/>
                <w:szCs w:val="22"/>
                <w:bdr w:val="nil"/>
                <w:lang w:val="de-DE"/>
              </w:rPr>
              <w:t>"</w:t>
            </w:r>
            <w:r w:rsidR="00B344F7">
              <w:rPr>
                <w:rFonts w:ascii="Arial" w:hAnsi="Arial" w:eastAsia="Arial" w:cs="Arial"/>
                <w:sz w:val="22"/>
                <w:szCs w:val="22"/>
                <w:bdr w:val="nil"/>
                <w:lang w:val="de-DE"/>
              </w:rPr>
              <w:t xml:space="preserve"> Prozessführung</w:t>
            </w:r>
            <w:r>
              <w:rPr>
                <w:rFonts w:ascii="Arial" w:hAnsi="Arial" w:eastAsia="Arial" w:cs="Arial"/>
                <w:sz w:val="22"/>
                <w:szCs w:val="22"/>
                <w:bdr w:val="nil"/>
                <w:lang w:val="de-DE"/>
              </w:rPr>
              <w:t xml:space="preserve"> </w:t>
            </w:r>
            <w:r w:rsidR="00B344F7">
              <w:rPr>
                <w:rFonts w:ascii="Arial" w:hAnsi="Arial" w:eastAsia="Arial" w:cs="Arial"/>
                <w:sz w:val="22"/>
                <w:szCs w:val="22"/>
                <w:bdr w:val="nil"/>
                <w:lang w:val="de-DE"/>
              </w:rPr>
              <w:t>vor die Gerichte weiterzuleiten</w:t>
            </w:r>
            <w:r>
              <w:rPr>
                <w:rFonts w:ascii="Arial" w:hAnsi="Arial" w:eastAsia="Arial" w:cs="Arial"/>
                <w:sz w:val="22"/>
                <w:szCs w:val="22"/>
                <w:bdr w:val="nil"/>
                <w:lang w:val="de-DE"/>
              </w:rPr>
              <w:t>, damit Menschen, die Diskriminierung und Intoleranz ausgesetzt sind, keine Gerichtsgebühren zahlen müssen und ihre Rechts</w:t>
            </w:r>
            <w:r w:rsidR="00B344F7">
              <w:rPr>
                <w:rFonts w:ascii="Arial" w:hAnsi="Arial" w:eastAsia="Arial" w:cs="Arial"/>
                <w:sz w:val="22"/>
                <w:szCs w:val="22"/>
                <w:bdr w:val="nil"/>
                <w:lang w:val="de-DE"/>
              </w:rPr>
              <w:t>vertretung</w:t>
            </w:r>
            <w:r>
              <w:rPr>
                <w:rFonts w:ascii="Arial" w:hAnsi="Arial" w:eastAsia="Arial" w:cs="Arial"/>
                <w:sz w:val="22"/>
                <w:szCs w:val="22"/>
                <w:bdr w:val="nil"/>
                <w:lang w:val="de-DE"/>
              </w:rPr>
              <w:t xml:space="preserve"> kostenlos </w:t>
            </w:r>
            <w:r w:rsidR="00B344F7">
              <w:rPr>
                <w:rFonts w:ascii="Arial" w:hAnsi="Arial" w:eastAsia="Arial" w:cs="Arial"/>
                <w:sz w:val="22"/>
                <w:szCs w:val="22"/>
                <w:bdr w:val="nil"/>
                <w:lang w:val="de-DE"/>
              </w:rPr>
              <w:t>durch den Staat erhalten;</w:t>
            </w:r>
            <w:r>
              <w:rPr>
                <w:rFonts w:ascii="Arial" w:hAnsi="Arial" w:eastAsia="Arial" w:cs="Arial"/>
                <w:sz w:val="22"/>
                <w:szCs w:val="22"/>
                <w:bdr w:val="nil"/>
                <w:lang w:val="de-DE"/>
              </w:rPr>
              <w:t xml:space="preserve"> (iv) gewährleisten, dass der Beschwerdeführer </w:t>
            </w:r>
            <w:r w:rsidR="00B344F7">
              <w:rPr>
                <w:rFonts w:ascii="Arial" w:hAnsi="Arial" w:eastAsia="Arial" w:cs="Arial"/>
                <w:sz w:val="22"/>
                <w:szCs w:val="22"/>
                <w:bdr w:val="nil"/>
                <w:lang w:val="de-DE"/>
              </w:rPr>
              <w:t xml:space="preserve">im Verfahren </w:t>
            </w:r>
            <w:r>
              <w:rPr>
                <w:rFonts w:ascii="Arial" w:hAnsi="Arial" w:eastAsia="Arial" w:cs="Arial"/>
                <w:sz w:val="22"/>
                <w:szCs w:val="22"/>
                <w:bdr w:val="nil"/>
                <w:lang w:val="de-DE"/>
              </w:rPr>
              <w:t>nicht für die Kosten der gegnerischen Seite haftbar ist, wenn ein Fall nicht erfolgreich ist, aber wichtige Fragen aufgeworfen hat, die geklärt werden müssen</w:t>
            </w:r>
            <w:r w:rsidR="00B344F7">
              <w:rPr>
                <w:rFonts w:ascii="Arial" w:hAnsi="Arial" w:eastAsia="Arial" w:cs="Arial"/>
                <w:sz w:val="22"/>
                <w:szCs w:val="22"/>
                <w:bdr w:val="nil"/>
                <w:lang w:val="de-DE"/>
              </w:rPr>
              <w:t>,</w:t>
            </w:r>
            <w:r>
              <w:rPr>
                <w:rFonts w:ascii="Arial" w:hAnsi="Arial" w:eastAsia="Arial" w:cs="Arial"/>
                <w:sz w:val="22"/>
                <w:szCs w:val="22"/>
                <w:bdr w:val="nil"/>
                <w:lang w:val="de-DE"/>
              </w:rPr>
              <w:t xml:space="preserve"> oder </w:t>
            </w:r>
            <w:r w:rsidR="00B344F7">
              <w:rPr>
                <w:rFonts w:ascii="Arial" w:hAnsi="Arial" w:eastAsia="Arial" w:cs="Arial"/>
                <w:sz w:val="22"/>
                <w:szCs w:val="22"/>
                <w:bdr w:val="nil"/>
                <w:lang w:val="de-DE"/>
              </w:rPr>
              <w:t xml:space="preserve">wenn an dem Fall ein </w:t>
            </w:r>
            <w:r>
              <w:rPr>
                <w:rFonts w:ascii="Arial" w:hAnsi="Arial" w:eastAsia="Arial" w:cs="Arial"/>
                <w:sz w:val="22"/>
                <w:szCs w:val="22"/>
                <w:bdr w:val="nil"/>
                <w:lang w:val="de-DE"/>
              </w:rPr>
              <w:t>öff</w:t>
            </w:r>
            <w:r w:rsidR="00017082">
              <w:rPr>
                <w:rFonts w:ascii="Arial" w:hAnsi="Arial" w:eastAsia="Arial" w:cs="Arial"/>
                <w:sz w:val="22"/>
                <w:szCs w:val="22"/>
                <w:bdr w:val="nil"/>
                <w:lang w:val="de-DE"/>
              </w:rPr>
              <w:t>entliche</w:t>
            </w:r>
            <w:r w:rsidR="00B344F7">
              <w:rPr>
                <w:rFonts w:ascii="Arial" w:hAnsi="Arial" w:eastAsia="Arial" w:cs="Arial"/>
                <w:sz w:val="22"/>
                <w:szCs w:val="22"/>
                <w:bdr w:val="nil"/>
                <w:lang w:val="de-DE"/>
              </w:rPr>
              <w:t>s</w:t>
            </w:r>
            <w:r w:rsidR="00017082">
              <w:rPr>
                <w:rFonts w:ascii="Arial" w:hAnsi="Arial" w:eastAsia="Arial" w:cs="Arial"/>
                <w:sz w:val="22"/>
                <w:szCs w:val="22"/>
                <w:bdr w:val="nil"/>
                <w:lang w:val="de-DE"/>
              </w:rPr>
              <w:t xml:space="preserve"> Interesse </w:t>
            </w:r>
            <w:r w:rsidR="00B344F7">
              <w:rPr>
                <w:rFonts w:ascii="Arial" w:hAnsi="Arial" w:eastAsia="Arial" w:cs="Arial"/>
                <w:sz w:val="22"/>
                <w:szCs w:val="22"/>
                <w:bdr w:val="nil"/>
                <w:lang w:val="de-DE"/>
              </w:rPr>
              <w:t>besteht</w:t>
            </w:r>
            <w:r w:rsidR="00017082">
              <w:rPr>
                <w:rFonts w:ascii="Arial" w:hAnsi="Arial" w:eastAsia="Arial" w:cs="Arial"/>
                <w:sz w:val="22"/>
                <w:szCs w:val="22"/>
                <w:bdr w:val="nil"/>
                <w:lang w:val="de-DE"/>
              </w:rPr>
              <w:t>; (v) </w:t>
            </w:r>
            <w:r>
              <w:rPr>
                <w:rFonts w:ascii="Arial" w:hAnsi="Arial" w:eastAsia="Arial" w:cs="Arial"/>
                <w:sz w:val="22"/>
                <w:szCs w:val="22"/>
                <w:bdr w:val="nil"/>
                <w:lang w:val="de-DE"/>
              </w:rPr>
              <w:t>die Möglichkeit von Sammelklagen</w:t>
            </w:r>
            <w:r w:rsidR="00FE358E">
              <w:rPr>
                <w:rFonts w:ascii="Arial" w:hAnsi="Arial" w:eastAsia="Arial" w:cs="Arial"/>
                <w:sz w:val="22"/>
                <w:szCs w:val="22"/>
                <w:bdr w:val="nil"/>
                <w:lang w:val="de-DE"/>
              </w:rPr>
              <w:t xml:space="preserve"> </w:t>
            </w:r>
            <w:r w:rsidR="00B344F7">
              <w:rPr>
                <w:rFonts w:ascii="Arial" w:hAnsi="Arial" w:eastAsia="Arial" w:cs="Arial"/>
                <w:sz w:val="22"/>
                <w:szCs w:val="22"/>
                <w:bdr w:val="nil"/>
                <w:lang w:val="de-DE"/>
              </w:rPr>
              <w:t>vorsehen</w:t>
            </w:r>
            <w:r>
              <w:rPr>
                <w:rFonts w:ascii="Arial" w:hAnsi="Arial" w:eastAsia="Arial" w:cs="Arial"/>
                <w:sz w:val="22"/>
                <w:szCs w:val="22"/>
                <w:bdr w:val="nil"/>
                <w:lang w:val="de-DE"/>
              </w:rPr>
              <w:t xml:space="preserve">, damit sich eine </w:t>
            </w:r>
            <w:r w:rsidR="00B344F7">
              <w:rPr>
                <w:rFonts w:ascii="Arial" w:hAnsi="Arial" w:eastAsia="Arial" w:cs="Arial"/>
                <w:sz w:val="22"/>
                <w:szCs w:val="22"/>
                <w:bdr w:val="nil"/>
                <w:lang w:val="de-DE"/>
              </w:rPr>
              <w:t xml:space="preserve">größere </w:t>
            </w:r>
            <w:r>
              <w:rPr>
                <w:rFonts w:ascii="Arial" w:hAnsi="Arial" w:eastAsia="Arial" w:cs="Arial"/>
                <w:sz w:val="22"/>
                <w:szCs w:val="22"/>
                <w:bdr w:val="nil"/>
                <w:lang w:val="de-DE"/>
              </w:rPr>
              <w:t>Anzahl von Beschwerdeführern für einen Prozess zusammenschließen kann, wodurch si</w:t>
            </w:r>
            <w:r w:rsidR="00B344F7">
              <w:rPr>
                <w:rFonts w:ascii="Arial" w:hAnsi="Arial" w:eastAsia="Arial" w:cs="Arial"/>
                <w:sz w:val="22"/>
                <w:szCs w:val="22"/>
                <w:bdr w:val="nil"/>
                <w:lang w:val="de-DE"/>
              </w:rPr>
              <w:t>e</w:t>
            </w:r>
            <w:r>
              <w:rPr>
                <w:rFonts w:ascii="Arial" w:hAnsi="Arial" w:eastAsia="Arial" w:cs="Arial"/>
                <w:sz w:val="22"/>
                <w:szCs w:val="22"/>
                <w:bdr w:val="nil"/>
                <w:lang w:val="de-DE"/>
              </w:rPr>
              <w:t xml:space="preserve"> ihr Kosten</w:t>
            </w:r>
            <w:r w:rsidR="00B344F7">
              <w:rPr>
                <w:rFonts w:ascii="Arial" w:hAnsi="Arial" w:eastAsia="Arial" w:cs="Arial"/>
                <w:sz w:val="22"/>
                <w:szCs w:val="22"/>
                <w:bdr w:val="nil"/>
                <w:lang w:val="de-DE"/>
              </w:rPr>
              <w:t>risiko</w:t>
            </w:r>
            <w:r>
              <w:rPr>
                <w:rFonts w:ascii="Arial" w:hAnsi="Arial" w:eastAsia="Arial" w:cs="Arial"/>
                <w:sz w:val="22"/>
                <w:szCs w:val="22"/>
                <w:bdr w:val="nil"/>
                <w:lang w:val="de-DE"/>
              </w:rPr>
              <w:t xml:space="preserve"> verringer</w:t>
            </w:r>
            <w:r w:rsidR="00B344F7">
              <w:rPr>
                <w:rFonts w:ascii="Arial" w:hAnsi="Arial" w:eastAsia="Arial" w:cs="Arial"/>
                <w:sz w:val="22"/>
                <w:szCs w:val="22"/>
                <w:bdr w:val="nil"/>
                <w:lang w:val="de-DE"/>
              </w:rPr>
              <w:t>n</w:t>
            </w:r>
            <w:r>
              <w:rPr>
                <w:rFonts w:ascii="Arial" w:hAnsi="Arial" w:eastAsia="Arial" w:cs="Arial"/>
                <w:sz w:val="22"/>
                <w:szCs w:val="22"/>
                <w:bdr w:val="nil"/>
                <w:lang w:val="de-DE"/>
              </w:rPr>
              <w:t xml:space="preserve"> oder (vi) ausreichende Mittel</w:t>
            </w:r>
            <w:r w:rsidR="00FE358E">
              <w:rPr>
                <w:rFonts w:ascii="Arial" w:hAnsi="Arial" w:eastAsia="Arial" w:cs="Arial"/>
                <w:sz w:val="22"/>
                <w:szCs w:val="22"/>
                <w:bdr w:val="nil"/>
                <w:lang w:val="de-DE"/>
              </w:rPr>
              <w:t xml:space="preserve"> bereitstellen</w:t>
            </w:r>
            <w:r>
              <w:rPr>
                <w:rFonts w:ascii="Arial" w:hAnsi="Arial" w:eastAsia="Arial" w:cs="Arial"/>
                <w:sz w:val="22"/>
                <w:szCs w:val="22"/>
                <w:bdr w:val="nil"/>
                <w:lang w:val="de-DE"/>
              </w:rPr>
              <w:t xml:space="preserve">, um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in die Lage zu versetzen, Menschen, die Diskriminierung und Intoleranz ausgesetzt sind, durch eigene Mitarbeiter vertreten zu lassen oder einen Anwalt für die Vertretung der betroffenen Person zu bezahlen, wie bereits in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_Ref478627748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75</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des Begründungstextes ausgeführt. </w:t>
            </w:r>
          </w:p>
        </w:tc>
      </w:tr>
      <w:tr w:rsidRPr="00C0685F" w:rsidR="00D8651C" w:rsidTr="00C0685F" w14:paraId="5F1BE4EB" w14:textId="77777777">
        <w:tc>
          <w:tcPr>
            <w:tcW w:w="10112" w:type="dxa"/>
            <w:gridSpan w:val="2"/>
          </w:tcPr>
          <w:p w:rsidRPr="00C0685F" w:rsidR="00DD016F" w:rsidP="00D7081C" w:rsidRDefault="00BE03CC" w14:paraId="55BA1747" w14:textId="209D8242">
            <w:pPr>
              <w:pStyle w:val="berschrift11"/>
              <w:numPr>
                <w:ilvl w:val="0"/>
                <w:numId w:val="30"/>
              </w:numPr>
              <w:spacing w:before="100" w:beforeAutospacing="1" w:after="100" w:afterAutospacing="1" w:line="240" w:lineRule="exact"/>
              <w:ind w:left="743"/>
              <w:rPr>
                <w:rFonts w:ascii="Arial" w:hAnsi="Arial" w:cs="Arial"/>
                <w:szCs w:val="22"/>
                <w:lang w:val="de-DE"/>
              </w:rPr>
            </w:pPr>
            <w:r w:rsidRPr="00BE03CC">
              <w:rPr>
                <w:rFonts w:ascii="Arial" w:hAnsi="Arial" w:eastAsia="Arial" w:cs="Arial"/>
                <w:bCs/>
                <w:szCs w:val="22"/>
                <w:bdr w:val="nil"/>
                <w:lang w:val="de-DE"/>
              </w:rPr>
              <w:t>Kompetenzen im Bereich der Entscheidungsfunktion</w:t>
            </w:r>
          </w:p>
        </w:tc>
      </w:tr>
      <w:tr w:rsidRPr="00046FAE" w:rsidR="00D8651C" w:rsidTr="00C0685F" w14:paraId="4E835179" w14:textId="77777777">
        <w:tc>
          <w:tcPr>
            <w:tcW w:w="10112" w:type="dxa"/>
            <w:gridSpan w:val="2"/>
          </w:tcPr>
          <w:p w:rsidRPr="006353CB" w:rsidR="00DD016F" w:rsidP="005B4190" w:rsidRDefault="00D4725B" w14:paraId="4C29FB50" w14:textId="4C8FAEBF">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_Ref474315831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17</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_Ref484072558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18</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877D49" w:rsidR="00DD016F" w:rsidP="00C76604" w:rsidRDefault="0078680C" w14:paraId="019B1424" w14:textId="3678EB9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Viele Mitgliedstaaten haben den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die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 übertragen, über Beschwerden wegen Diskriminierung und Intoleranz zu entscheiden. </w:t>
            </w:r>
            <w:r w:rsidR="00EC33E6">
              <w:rPr>
                <w:rFonts w:ascii="Arial" w:hAnsi="Arial" w:eastAsia="Arial" w:cs="Arial"/>
                <w:sz w:val="22"/>
                <w:szCs w:val="22"/>
                <w:bdr w:val="nil"/>
                <w:lang w:val="de-DE"/>
              </w:rPr>
              <w:t xml:space="preserve">Unter </w:t>
            </w:r>
            <w:r>
              <w:rPr>
                <w:rFonts w:ascii="Arial" w:hAnsi="Arial" w:eastAsia="Arial" w:cs="Arial"/>
                <w:sz w:val="22"/>
                <w:szCs w:val="22"/>
                <w:bdr w:val="nil"/>
                <w:lang w:val="de-DE"/>
              </w:rPr>
              <w:t xml:space="preserve">diesen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können zwei Modelle unterschieden werden: die erste Gruppe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kann bindende Entscheidungen erlassen und einige können </w:t>
            </w:r>
            <w:r w:rsidR="00B344F7">
              <w:rPr>
                <w:rFonts w:ascii="Arial" w:hAnsi="Arial" w:eastAsia="Arial" w:cs="Arial"/>
                <w:sz w:val="22"/>
                <w:szCs w:val="22"/>
                <w:bdr w:val="nil"/>
                <w:lang w:val="de-DE"/>
              </w:rPr>
              <w:t xml:space="preserve">auch </w:t>
            </w:r>
            <w:r>
              <w:rPr>
                <w:rFonts w:ascii="Arial" w:hAnsi="Arial" w:eastAsia="Arial" w:cs="Arial"/>
                <w:sz w:val="22"/>
                <w:szCs w:val="22"/>
                <w:bdr w:val="nil"/>
                <w:lang w:val="de-DE"/>
              </w:rPr>
              <w:t>Sanktionen auferlegen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_Ref474315831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17</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Die zweite Gruppe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B344F7">
              <w:rPr>
                <w:rFonts w:ascii="Arial" w:hAnsi="Arial" w:eastAsia="Arial" w:cs="Arial"/>
                <w:sz w:val="22"/>
                <w:szCs w:val="22"/>
                <w:bdr w:val="nil"/>
                <w:lang w:val="de-DE"/>
              </w:rPr>
              <w:t xml:space="preserve">spricht </w:t>
            </w:r>
            <w:r>
              <w:rPr>
                <w:rFonts w:ascii="Arial" w:hAnsi="Arial" w:eastAsia="Arial" w:cs="Arial"/>
                <w:sz w:val="22"/>
                <w:szCs w:val="22"/>
                <w:bdr w:val="nil"/>
                <w:lang w:val="de-DE"/>
              </w:rPr>
              <w:t xml:space="preserve">Empfehlungen aus, die in der Praxis erheblichen Einfluss haben können, selbst wenn sie nicht bindend und </w:t>
            </w:r>
            <w:r w:rsidR="00B344F7">
              <w:rPr>
                <w:rFonts w:ascii="Arial" w:hAnsi="Arial" w:eastAsia="Arial" w:cs="Arial"/>
                <w:sz w:val="22"/>
                <w:szCs w:val="22"/>
                <w:bdr w:val="nil"/>
                <w:lang w:val="de-DE"/>
              </w:rPr>
              <w:t>nicht mit</w:t>
            </w:r>
            <w:r>
              <w:rPr>
                <w:rFonts w:ascii="Arial" w:hAnsi="Arial" w:eastAsia="Arial" w:cs="Arial"/>
                <w:sz w:val="22"/>
                <w:szCs w:val="22"/>
                <w:bdr w:val="nil"/>
                <w:lang w:val="de-DE"/>
              </w:rPr>
              <w:t xml:space="preserve"> Sanktionen ver</w:t>
            </w:r>
            <w:r w:rsidR="00B344F7">
              <w:rPr>
                <w:rFonts w:ascii="Arial" w:hAnsi="Arial" w:eastAsia="Arial" w:cs="Arial"/>
                <w:sz w:val="22"/>
                <w:szCs w:val="22"/>
                <w:bdr w:val="nil"/>
                <w:lang w:val="de-DE"/>
              </w:rPr>
              <w:t>sehen</w:t>
            </w:r>
            <w:r>
              <w:rPr>
                <w:rFonts w:ascii="Arial" w:hAnsi="Arial" w:eastAsia="Arial" w:cs="Arial"/>
                <w:sz w:val="22"/>
                <w:szCs w:val="22"/>
                <w:bdr w:val="nil"/>
                <w:lang w:val="de-DE"/>
              </w:rPr>
              <w:t xml:space="preserve"> sind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_Ref484072558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18</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lastRenderedPageBreak/>
              <w:t>APE</w:t>
            </w:r>
            <w:r>
              <w:rPr>
                <w:rFonts w:ascii="Arial" w:hAnsi="Arial" w:eastAsia="Arial" w:cs="Arial"/>
                <w:sz w:val="22"/>
                <w:szCs w:val="22"/>
                <w:bdr w:val="nil"/>
                <w:lang w:val="de-DE"/>
              </w:rPr>
              <w:t xml:space="preserve">). Institutionen, die das Mandat einer Ombudsperson mit einem </w:t>
            </w:r>
            <w:r w:rsidR="008F4296">
              <w:rPr>
                <w:rFonts w:ascii="Arial" w:hAnsi="Arial" w:eastAsia="Arial" w:cs="Arial"/>
                <w:sz w:val="22"/>
                <w:szCs w:val="22"/>
                <w:bdr w:val="nil"/>
                <w:lang w:val="de-DE"/>
              </w:rPr>
              <w:t>Gleichheit</w:t>
            </w:r>
            <w:r>
              <w:rPr>
                <w:rFonts w:ascii="Arial" w:hAnsi="Arial" w:eastAsia="Arial" w:cs="Arial"/>
                <w:sz w:val="22"/>
                <w:szCs w:val="22"/>
                <w:bdr w:val="nil"/>
                <w:lang w:val="de-DE"/>
              </w:rPr>
              <w:t xml:space="preserve">smandat verbinden, gehören häufig dieser zweiten Gruppe an. </w:t>
            </w:r>
          </w:p>
          <w:p w:rsidRPr="00C0685F" w:rsidR="00DD016F" w:rsidP="00C76604" w:rsidRDefault="00781974" w14:paraId="35606805" w14:textId="0780FD4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die über Beschwerden entscheiden, </w:t>
            </w:r>
            <w:r w:rsidR="00B344F7">
              <w:rPr>
                <w:rFonts w:ascii="Arial" w:hAnsi="Arial" w:eastAsia="Arial" w:cs="Arial"/>
                <w:sz w:val="22"/>
                <w:szCs w:val="22"/>
                <w:bdr w:val="nil"/>
                <w:lang w:val="de-DE"/>
              </w:rPr>
              <w:t xml:space="preserve">können </w:t>
            </w:r>
            <w:r w:rsidR="0078680C">
              <w:rPr>
                <w:rFonts w:ascii="Arial" w:hAnsi="Arial" w:eastAsia="Arial" w:cs="Arial"/>
                <w:sz w:val="22"/>
                <w:szCs w:val="22"/>
                <w:bdr w:val="nil"/>
                <w:lang w:val="de-DE"/>
              </w:rPr>
              <w:t xml:space="preserve">Gerichten </w:t>
            </w:r>
            <w:r w:rsidR="00B344F7">
              <w:rPr>
                <w:rFonts w:ascii="Arial" w:hAnsi="Arial" w:eastAsia="Arial" w:cs="Arial"/>
                <w:sz w:val="22"/>
                <w:szCs w:val="22"/>
                <w:bdr w:val="nil"/>
                <w:lang w:val="de-DE"/>
              </w:rPr>
              <w:t>ähneln</w:t>
            </w:r>
            <w:r w:rsidR="0078680C">
              <w:rPr>
                <w:rFonts w:ascii="Arial" w:hAnsi="Arial" w:eastAsia="Arial" w:cs="Arial"/>
                <w:sz w:val="22"/>
                <w:szCs w:val="22"/>
                <w:bdr w:val="nil"/>
                <w:lang w:val="de-DE"/>
              </w:rPr>
              <w:t xml:space="preserve"> und Urteile oder Entscheidungen</w:t>
            </w:r>
            <w:r w:rsidR="00B344F7">
              <w:rPr>
                <w:rFonts w:ascii="Arial" w:hAnsi="Arial" w:eastAsia="Arial" w:cs="Arial"/>
                <w:sz w:val="22"/>
                <w:szCs w:val="22"/>
                <w:bdr w:val="nil"/>
                <w:lang w:val="de-DE"/>
              </w:rPr>
              <w:t xml:space="preserve"> erlassen</w:t>
            </w:r>
            <w:r w:rsidR="0078680C">
              <w:rPr>
                <w:rFonts w:ascii="Arial" w:hAnsi="Arial" w:eastAsia="Arial" w:cs="Arial"/>
                <w:sz w:val="22"/>
                <w:szCs w:val="22"/>
                <w:bdr w:val="nil"/>
                <w:lang w:val="de-DE"/>
              </w:rPr>
              <w:t xml:space="preserve">, oder sie ähneln unabhängigen Verwaltungsbehörden und erlassen Verwaltungsakte oder Entscheidungen. </w:t>
            </w:r>
          </w:p>
        </w:tc>
      </w:tr>
      <w:tr w:rsidRPr="00C0685F" w:rsidR="00D8651C" w:rsidTr="00C0685F" w14:paraId="14BD2583" w14:textId="77777777">
        <w:trPr>
          <w:trHeight w:val="1002"/>
        </w:trPr>
        <w:tc>
          <w:tcPr>
            <w:tcW w:w="10112" w:type="dxa"/>
            <w:gridSpan w:val="2"/>
          </w:tcPr>
          <w:p w:rsidRPr="00C0685F" w:rsidR="00DD016F" w:rsidP="00C76604" w:rsidRDefault="0078680C" w14:paraId="1ED96324" w14:textId="77612917">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lastRenderedPageBreak/>
              <w:t xml:space="preserve">Diese Stellen sollten die </w:t>
            </w:r>
            <w:r w:rsidR="002A166A">
              <w:rPr>
                <w:rFonts w:ascii="Arial" w:hAnsi="Arial" w:eastAsia="Arial" w:cs="Arial"/>
                <w:sz w:val="22"/>
                <w:szCs w:val="22"/>
                <w:bdr w:val="nil"/>
                <w:lang w:val="de-DE"/>
              </w:rPr>
              <w:t>Kompetenz</w:t>
            </w:r>
            <w:r>
              <w:rPr>
                <w:rFonts w:ascii="Arial" w:hAnsi="Arial" w:eastAsia="Arial" w:cs="Arial"/>
                <w:sz w:val="22"/>
                <w:szCs w:val="22"/>
                <w:bdr w:val="nil"/>
                <w:lang w:val="de-DE"/>
              </w:rPr>
              <w:t xml:space="preserve"> haben, Beschwerden wegen Diskriminierung, einschließlich Hassrede, entgegenzunehmen. </w:t>
            </w:r>
            <w:r w:rsidR="00B344F7">
              <w:rPr>
                <w:rFonts w:ascii="Arial" w:hAnsi="Arial" w:eastAsia="Arial" w:cs="Arial"/>
                <w:sz w:val="22"/>
                <w:szCs w:val="22"/>
                <w:bdr w:val="nil"/>
                <w:lang w:val="de-DE"/>
              </w:rPr>
              <w:t>Im Gesetz so</w:t>
            </w:r>
            <w:r>
              <w:rPr>
                <w:rFonts w:ascii="Arial" w:hAnsi="Arial" w:eastAsia="Arial" w:cs="Arial"/>
                <w:sz w:val="22"/>
                <w:szCs w:val="22"/>
                <w:bdr w:val="nil"/>
                <w:lang w:val="de-DE"/>
              </w:rPr>
              <w:t xml:space="preserve">llte ausdrücklich </w:t>
            </w:r>
            <w:r w:rsidR="00B344F7">
              <w:rPr>
                <w:rFonts w:ascii="Arial" w:hAnsi="Arial" w:eastAsia="Arial" w:cs="Arial"/>
                <w:sz w:val="22"/>
                <w:szCs w:val="22"/>
                <w:bdr w:val="nil"/>
                <w:lang w:val="de-DE"/>
              </w:rPr>
              <w:t>festgelegt</w:t>
            </w:r>
            <w:r>
              <w:rPr>
                <w:rFonts w:ascii="Arial" w:hAnsi="Arial" w:eastAsia="Arial" w:cs="Arial"/>
                <w:sz w:val="22"/>
                <w:szCs w:val="22"/>
                <w:bdr w:val="nil"/>
                <w:lang w:val="de-DE"/>
              </w:rPr>
              <w:t xml:space="preserve"> sein, dass die Regelungen zur </w:t>
            </w:r>
            <w:r w:rsidR="00B344F7">
              <w:rPr>
                <w:rFonts w:ascii="Arial" w:hAnsi="Arial" w:eastAsia="Arial" w:cs="Arial"/>
                <w:sz w:val="22"/>
                <w:szCs w:val="22"/>
                <w:bdr w:val="nil"/>
                <w:lang w:val="de-DE"/>
              </w:rPr>
              <w:t xml:space="preserve">geteilten </w:t>
            </w:r>
            <w:r>
              <w:rPr>
                <w:rFonts w:ascii="Arial" w:hAnsi="Arial" w:eastAsia="Arial" w:cs="Arial"/>
                <w:sz w:val="22"/>
                <w:szCs w:val="22"/>
                <w:bdr w:val="nil"/>
                <w:lang w:val="de-DE"/>
              </w:rPr>
              <w:t xml:space="preserve">Beweislast </w:t>
            </w:r>
            <w:r w:rsidR="00B344F7">
              <w:rPr>
                <w:rFonts w:ascii="Arial" w:hAnsi="Arial" w:eastAsia="Arial" w:cs="Arial"/>
                <w:sz w:val="22"/>
                <w:szCs w:val="22"/>
                <w:bdr w:val="nil"/>
                <w:lang w:val="de-DE"/>
              </w:rPr>
              <w:t>in</w:t>
            </w:r>
            <w:r>
              <w:rPr>
                <w:rFonts w:ascii="Arial" w:hAnsi="Arial" w:eastAsia="Arial" w:cs="Arial"/>
                <w:sz w:val="22"/>
                <w:szCs w:val="22"/>
                <w:bdr w:val="nil"/>
                <w:lang w:val="de-DE"/>
              </w:rPr>
              <w:t xml:space="preserve"> Diskriminierungsfällen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11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7 von ECRI) </w:t>
            </w:r>
            <w:r w:rsidR="00B344F7">
              <w:rPr>
                <w:rFonts w:ascii="Arial" w:hAnsi="Arial" w:eastAsia="Arial" w:cs="Arial"/>
                <w:sz w:val="22"/>
                <w:szCs w:val="22"/>
                <w:bdr w:val="nil"/>
                <w:lang w:val="de-DE"/>
              </w:rPr>
              <w:t xml:space="preserve">in den Verfahren vor ihnen zur </w:t>
            </w:r>
            <w:r>
              <w:rPr>
                <w:rFonts w:ascii="Arial" w:hAnsi="Arial" w:eastAsia="Arial" w:cs="Arial"/>
                <w:sz w:val="22"/>
                <w:szCs w:val="22"/>
                <w:bdr w:val="nil"/>
                <w:lang w:val="de-DE"/>
              </w:rPr>
              <w:t xml:space="preserve">Anwendung </w:t>
            </w:r>
            <w:r w:rsidR="00B344F7">
              <w:rPr>
                <w:rFonts w:ascii="Arial" w:hAnsi="Arial" w:eastAsia="Arial" w:cs="Arial"/>
                <w:sz w:val="22"/>
                <w:szCs w:val="22"/>
                <w:bdr w:val="nil"/>
                <w:lang w:val="de-DE"/>
              </w:rPr>
              <w:t>kommen</w:t>
            </w:r>
            <w:r>
              <w:rPr>
                <w:rFonts w:ascii="Arial" w:hAnsi="Arial" w:eastAsia="Arial" w:cs="Arial"/>
                <w:sz w:val="22"/>
                <w:szCs w:val="22"/>
                <w:bdr w:val="nil"/>
                <w:lang w:val="de-DE"/>
              </w:rPr>
              <w:t xml:space="preserve">. Zusätzliche Bestimmungen zum Verfahren vor diesen Stellen sind erforderlich, die grundlegende Verfahrensgarantien festlegen </w:t>
            </w:r>
            <w:r w:rsidR="00B344F7">
              <w:rPr>
                <w:rFonts w:ascii="Arial" w:hAnsi="Arial" w:eastAsia="Arial" w:cs="Arial"/>
                <w:sz w:val="22"/>
                <w:szCs w:val="22"/>
                <w:bdr w:val="nil"/>
                <w:lang w:val="de-DE"/>
              </w:rPr>
              <w:t xml:space="preserve">sollten </w:t>
            </w:r>
            <w:r>
              <w:rPr>
                <w:rFonts w:ascii="Arial" w:hAnsi="Arial" w:eastAsia="Arial" w:cs="Arial"/>
                <w:sz w:val="22"/>
                <w:szCs w:val="22"/>
                <w:bdr w:val="nil"/>
                <w:lang w:val="de-DE"/>
              </w:rPr>
              <w:t xml:space="preserve">und </w:t>
            </w:r>
            <w:r w:rsidR="001771C0">
              <w:rPr>
                <w:rFonts w:ascii="Arial" w:hAnsi="Arial" w:eastAsia="Arial" w:cs="Arial"/>
                <w:sz w:val="22"/>
                <w:szCs w:val="22"/>
                <w:bdr w:val="nil"/>
                <w:lang w:val="de-DE"/>
              </w:rPr>
              <w:t xml:space="preserve">sich an </w:t>
            </w:r>
            <w:r w:rsidR="00B344F7">
              <w:rPr>
                <w:rFonts w:ascii="Arial" w:hAnsi="Arial" w:eastAsia="Arial" w:cs="Arial"/>
                <w:sz w:val="22"/>
                <w:szCs w:val="22"/>
                <w:bdr w:val="nil"/>
                <w:lang w:val="de-DE"/>
              </w:rPr>
              <w:t xml:space="preserve">den </w:t>
            </w:r>
            <w:r>
              <w:rPr>
                <w:rFonts w:ascii="Arial" w:hAnsi="Arial" w:eastAsia="Arial" w:cs="Arial"/>
                <w:sz w:val="22"/>
                <w:szCs w:val="22"/>
                <w:bdr w:val="nil"/>
                <w:lang w:val="de-DE"/>
              </w:rPr>
              <w:t>Zivil- und Verwaltungs</w:t>
            </w:r>
            <w:r w:rsidR="00B344F7">
              <w:rPr>
                <w:rFonts w:ascii="Arial" w:hAnsi="Arial" w:eastAsia="Arial" w:cs="Arial"/>
                <w:sz w:val="22"/>
                <w:szCs w:val="22"/>
                <w:bdr w:val="nil"/>
                <w:lang w:val="de-DE"/>
              </w:rPr>
              <w:t xml:space="preserve">prozessordnungen </w:t>
            </w:r>
            <w:r w:rsidR="001771C0">
              <w:rPr>
                <w:rFonts w:ascii="Arial" w:hAnsi="Arial" w:eastAsia="Arial" w:cs="Arial"/>
                <w:sz w:val="22"/>
                <w:szCs w:val="22"/>
                <w:bdr w:val="nil"/>
                <w:lang w:val="de-DE"/>
              </w:rPr>
              <w:t xml:space="preserve">orientieren </w:t>
            </w:r>
            <w:r>
              <w:rPr>
                <w:rFonts w:ascii="Arial" w:hAnsi="Arial" w:eastAsia="Arial" w:cs="Arial"/>
                <w:sz w:val="22"/>
                <w:szCs w:val="22"/>
                <w:bdr w:val="nil"/>
                <w:lang w:val="de-DE"/>
              </w:rPr>
              <w:t>können. Es</w:t>
            </w:r>
            <w:r w:rsidR="002226E8">
              <w:rPr>
                <w:rFonts w:ascii="Arial" w:hAnsi="Arial" w:eastAsia="Arial" w:cs="Arial"/>
                <w:sz w:val="22"/>
                <w:szCs w:val="22"/>
                <w:bdr w:val="nil"/>
                <w:lang w:val="de-DE"/>
              </w:rPr>
              <w:t xml:space="preserve"> würde den Rahmen dieser </w:t>
            </w:r>
            <w:r w:rsidR="00717C12">
              <w:rPr>
                <w:rFonts w:ascii="Arial" w:hAnsi="Arial" w:eastAsia="Arial" w:cs="Arial"/>
                <w:sz w:val="22"/>
                <w:szCs w:val="22"/>
                <w:bdr w:val="nil"/>
                <w:lang w:val="de-DE"/>
              </w:rPr>
              <w:t>APE</w:t>
            </w:r>
            <w:r w:rsidR="002226E8">
              <w:rPr>
                <w:rFonts w:ascii="Arial" w:hAnsi="Arial" w:eastAsia="Arial" w:cs="Arial"/>
                <w:sz w:val="22"/>
                <w:szCs w:val="22"/>
                <w:bdr w:val="nil"/>
                <w:lang w:val="de-DE"/>
              </w:rPr>
              <w:t xml:space="preserve"> sprengen</w:t>
            </w:r>
            <w:r>
              <w:rPr>
                <w:rFonts w:ascii="Arial" w:hAnsi="Arial" w:eastAsia="Arial" w:cs="Arial"/>
                <w:sz w:val="22"/>
                <w:szCs w:val="22"/>
                <w:bdr w:val="nil"/>
                <w:lang w:val="de-DE"/>
              </w:rPr>
              <w:t xml:space="preserve">, diese Bestimmungen im Detail </w:t>
            </w:r>
            <w:r w:rsidR="001771C0">
              <w:rPr>
                <w:rFonts w:ascii="Arial" w:hAnsi="Arial" w:eastAsia="Arial" w:cs="Arial"/>
                <w:sz w:val="22"/>
                <w:szCs w:val="22"/>
                <w:bdr w:val="nil"/>
                <w:lang w:val="de-DE"/>
              </w:rPr>
              <w:t>auszuarbeiten</w:t>
            </w:r>
            <w:r>
              <w:rPr>
                <w:rFonts w:ascii="Arial" w:hAnsi="Arial" w:eastAsia="Arial" w:cs="Arial"/>
                <w:sz w:val="22"/>
                <w:szCs w:val="22"/>
                <w:bdr w:val="nil"/>
                <w:lang w:val="de-DE"/>
              </w:rPr>
              <w:t>.</w:t>
            </w:r>
          </w:p>
        </w:tc>
      </w:tr>
      <w:tr w:rsidRPr="00C0685F" w:rsidR="00D8651C" w:rsidTr="00C0685F" w14:paraId="4A4ACB54" w14:textId="77777777">
        <w:tc>
          <w:tcPr>
            <w:tcW w:w="10112" w:type="dxa"/>
            <w:gridSpan w:val="2"/>
          </w:tcPr>
          <w:p w:rsidRPr="00C0685F" w:rsidR="00DD016F" w:rsidP="00D0083E" w:rsidRDefault="002226E8" w14:paraId="3754C65E" w14:textId="5EC260E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Richten </w:t>
            </w:r>
            <w:r w:rsidR="0078680C">
              <w:rPr>
                <w:rFonts w:ascii="Arial" w:hAnsi="Arial" w:eastAsia="Arial" w:cs="Arial"/>
                <w:sz w:val="22"/>
                <w:szCs w:val="22"/>
                <w:bdr w:val="nil"/>
                <w:lang w:val="de-DE"/>
              </w:rPr>
              <w:t xml:space="preserve">Mitgliedstaaten eine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mit </w:t>
            </w:r>
            <w:r w:rsidR="008A1AFD">
              <w:rPr>
                <w:rFonts w:ascii="Arial" w:hAnsi="Arial" w:eastAsia="Arial" w:cs="Arial"/>
                <w:sz w:val="22"/>
                <w:szCs w:val="22"/>
                <w:bdr w:val="nil"/>
                <w:lang w:val="de-DE"/>
              </w:rPr>
              <w:t>Entscheidungsfunktion</w:t>
            </w:r>
            <w:r w:rsidR="0078680C">
              <w:rPr>
                <w:rFonts w:ascii="Arial" w:hAnsi="Arial" w:eastAsia="Arial" w:cs="Arial"/>
                <w:sz w:val="22"/>
                <w:szCs w:val="22"/>
                <w:bdr w:val="nil"/>
                <w:lang w:val="de-DE"/>
              </w:rPr>
              <w:t xml:space="preserve"> ein, </w:t>
            </w:r>
            <w:r>
              <w:rPr>
                <w:rFonts w:ascii="Arial" w:hAnsi="Arial" w:eastAsia="Arial" w:cs="Arial"/>
                <w:sz w:val="22"/>
                <w:szCs w:val="22"/>
                <w:bdr w:val="nil"/>
                <w:lang w:val="de-DE"/>
              </w:rPr>
              <w:t xml:space="preserve">so </w:t>
            </w:r>
            <w:r w:rsidR="0078680C">
              <w:rPr>
                <w:rFonts w:ascii="Arial" w:hAnsi="Arial" w:eastAsia="Arial" w:cs="Arial"/>
                <w:sz w:val="22"/>
                <w:szCs w:val="22"/>
                <w:bdr w:val="nil"/>
                <w:lang w:val="de-DE"/>
              </w:rPr>
              <w:t xml:space="preserve">sollten sie diese mit entsprechenden Entscheidungs- und </w:t>
            </w:r>
            <w:r>
              <w:rPr>
                <w:rFonts w:ascii="Arial" w:hAnsi="Arial" w:eastAsia="Arial" w:cs="Arial"/>
                <w:sz w:val="22"/>
                <w:szCs w:val="22"/>
                <w:bdr w:val="nil"/>
                <w:lang w:val="de-DE"/>
              </w:rPr>
              <w:t xml:space="preserve">Folgekompetenzen </w:t>
            </w:r>
            <w:r w:rsidR="0078680C">
              <w:rPr>
                <w:rFonts w:ascii="Arial" w:hAnsi="Arial" w:eastAsia="Arial" w:cs="Arial"/>
                <w:sz w:val="22"/>
                <w:szCs w:val="22"/>
                <w:bdr w:val="nil"/>
                <w:lang w:val="de-DE"/>
              </w:rPr>
              <w:t xml:space="preserve">ausstatten. Die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sollte vorzugsweise die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 haben, rechtsverbindliche Entscheidungen zu treffen (erstes Modell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_Ref474315831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17</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und nicht </w:t>
            </w:r>
            <w:r w:rsidR="0078680C">
              <w:rPr>
                <w:rFonts w:ascii="Arial" w:hAnsi="Arial" w:eastAsia="Arial" w:cs="Arial"/>
                <w:sz w:val="22"/>
                <w:szCs w:val="22"/>
                <w:bdr w:val="nil"/>
                <w:lang w:val="de-DE"/>
              </w:rPr>
              <w:t xml:space="preserve">auf </w:t>
            </w:r>
            <w:r>
              <w:rPr>
                <w:rFonts w:ascii="Arial" w:hAnsi="Arial" w:eastAsia="Arial" w:cs="Arial"/>
                <w:sz w:val="22"/>
                <w:szCs w:val="22"/>
                <w:bdr w:val="nil"/>
                <w:lang w:val="de-DE"/>
              </w:rPr>
              <w:t>unverbindliche</w:t>
            </w:r>
            <w:r w:rsidR="0078680C">
              <w:rPr>
                <w:rFonts w:ascii="Arial" w:hAnsi="Arial" w:eastAsia="Arial" w:cs="Arial"/>
                <w:sz w:val="22"/>
                <w:szCs w:val="22"/>
                <w:bdr w:val="nil"/>
                <w:lang w:val="de-DE"/>
              </w:rPr>
              <w:t xml:space="preserve"> Empfehlungen beschränkt </w:t>
            </w:r>
            <w:r>
              <w:rPr>
                <w:rFonts w:ascii="Arial" w:hAnsi="Arial" w:eastAsia="Arial" w:cs="Arial"/>
                <w:sz w:val="22"/>
                <w:szCs w:val="22"/>
                <w:bdr w:val="nil"/>
                <w:lang w:val="de-DE"/>
              </w:rPr>
              <w:t>sein</w:t>
            </w:r>
            <w:r w:rsidR="0078680C">
              <w:rPr>
                <w:rFonts w:ascii="Arial" w:hAnsi="Arial" w:eastAsia="Arial" w:cs="Arial"/>
                <w:sz w:val="22"/>
                <w:szCs w:val="22"/>
                <w:bdr w:val="nil"/>
                <w:lang w:val="de-DE"/>
              </w:rPr>
              <w:t xml:space="preserve"> (zweites Modell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_Ref484072558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18</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Bei beiden Modellen sollten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die Entscheidungen über Beschwerden fällen, </w:t>
            </w:r>
            <w:r>
              <w:rPr>
                <w:rFonts w:ascii="Arial" w:hAnsi="Arial" w:eastAsia="Arial" w:cs="Arial"/>
                <w:sz w:val="22"/>
                <w:szCs w:val="22"/>
                <w:bdr w:val="nil"/>
                <w:lang w:val="de-DE"/>
              </w:rPr>
              <w:t xml:space="preserve">ihre Entscheidungen begründen und </w:t>
            </w:r>
            <w:r w:rsidR="0078680C">
              <w:rPr>
                <w:rFonts w:ascii="Arial" w:hAnsi="Arial" w:eastAsia="Arial" w:cs="Arial"/>
                <w:sz w:val="22"/>
                <w:szCs w:val="22"/>
                <w:bdr w:val="nil"/>
                <w:lang w:val="de-DE"/>
              </w:rPr>
              <w:t xml:space="preserve">veröffentlichen, und die Kompetenz haben, Entscheidungen </w:t>
            </w:r>
            <w:r>
              <w:rPr>
                <w:rFonts w:ascii="Arial" w:hAnsi="Arial" w:eastAsia="Arial" w:cs="Arial"/>
                <w:sz w:val="22"/>
                <w:szCs w:val="22"/>
                <w:bdr w:val="nil"/>
                <w:lang w:val="de-DE"/>
              </w:rPr>
              <w:t>zu erlassen</w:t>
            </w:r>
            <w:r w:rsidR="0078680C">
              <w:rPr>
                <w:rFonts w:ascii="Arial" w:hAnsi="Arial" w:eastAsia="Arial" w:cs="Arial"/>
                <w:sz w:val="22"/>
                <w:szCs w:val="22"/>
                <w:bdr w:val="nil"/>
                <w:lang w:val="de-DE"/>
              </w:rPr>
              <w:t xml:space="preserve">, die </w:t>
            </w:r>
            <w:r>
              <w:rPr>
                <w:rFonts w:ascii="Arial" w:hAnsi="Arial" w:eastAsia="Arial" w:cs="Arial"/>
                <w:sz w:val="22"/>
                <w:szCs w:val="22"/>
                <w:bdr w:val="nil"/>
                <w:lang w:val="de-DE"/>
              </w:rPr>
              <w:t xml:space="preserve">darauf abzielen, </w:t>
            </w:r>
            <w:r w:rsidR="0078680C">
              <w:rPr>
                <w:rFonts w:ascii="Arial" w:hAnsi="Arial" w:eastAsia="Arial" w:cs="Arial"/>
                <w:sz w:val="22"/>
                <w:szCs w:val="22"/>
                <w:bdr w:val="nil"/>
                <w:lang w:val="de-DE"/>
              </w:rPr>
              <w:t xml:space="preserve">Diskriminierung </w:t>
            </w:r>
            <w:r>
              <w:rPr>
                <w:rFonts w:ascii="Arial" w:hAnsi="Arial" w:eastAsia="Arial" w:cs="Arial"/>
                <w:sz w:val="22"/>
                <w:szCs w:val="22"/>
                <w:bdr w:val="nil"/>
                <w:lang w:val="de-DE"/>
              </w:rPr>
              <w:t xml:space="preserve">zu beenden </w:t>
            </w:r>
            <w:r w:rsidR="0078680C">
              <w:rPr>
                <w:rFonts w:ascii="Arial" w:hAnsi="Arial" w:eastAsia="Arial" w:cs="Arial"/>
                <w:sz w:val="22"/>
                <w:szCs w:val="22"/>
                <w:bdr w:val="nil"/>
                <w:lang w:val="de-DE"/>
              </w:rPr>
              <w:t xml:space="preserve">(z. B. </w:t>
            </w:r>
            <w:r>
              <w:rPr>
                <w:rFonts w:ascii="Arial" w:hAnsi="Arial" w:eastAsia="Arial" w:cs="Arial"/>
                <w:sz w:val="22"/>
                <w:szCs w:val="22"/>
                <w:bdr w:val="nil"/>
                <w:lang w:val="de-DE"/>
              </w:rPr>
              <w:t>Verpflichtung</w:t>
            </w:r>
            <w:r w:rsidR="0078680C">
              <w:rPr>
                <w:rFonts w:ascii="Arial" w:hAnsi="Arial" w:eastAsia="Arial" w:cs="Arial"/>
                <w:sz w:val="22"/>
                <w:szCs w:val="22"/>
                <w:bdr w:val="nil"/>
                <w:lang w:val="de-DE"/>
              </w:rPr>
              <w:t xml:space="preserve">, Roma-Kinder gleichmäßig auf alle Klassen einer Schule aufzuteilen), vollständige Gleichheit </w:t>
            </w:r>
            <w:r>
              <w:rPr>
                <w:rFonts w:ascii="Arial" w:hAnsi="Arial" w:eastAsia="Arial" w:cs="Arial"/>
                <w:sz w:val="22"/>
                <w:szCs w:val="22"/>
                <w:bdr w:val="nil"/>
                <w:lang w:val="de-DE"/>
              </w:rPr>
              <w:t xml:space="preserve">zu erreichen </w:t>
            </w:r>
            <w:r w:rsidR="0078680C">
              <w:rPr>
                <w:rFonts w:ascii="Arial" w:hAnsi="Arial" w:eastAsia="Arial" w:cs="Arial"/>
                <w:sz w:val="22"/>
                <w:szCs w:val="22"/>
                <w:bdr w:val="nil"/>
                <w:lang w:val="de-DE"/>
              </w:rPr>
              <w:t xml:space="preserve">(z. B. Auflage zur Zahlung eines gleichen Lohnes an den Beschwerdeführer) und künftige Diskriminierung </w:t>
            </w:r>
            <w:r>
              <w:rPr>
                <w:rFonts w:ascii="Arial" w:hAnsi="Arial" w:eastAsia="Arial" w:cs="Arial"/>
                <w:sz w:val="22"/>
                <w:szCs w:val="22"/>
                <w:bdr w:val="nil"/>
                <w:lang w:val="de-DE"/>
              </w:rPr>
              <w:t xml:space="preserve">zu verhindern </w:t>
            </w:r>
            <w:r w:rsidR="0078680C">
              <w:rPr>
                <w:rFonts w:ascii="Arial" w:hAnsi="Arial" w:eastAsia="Arial" w:cs="Arial"/>
                <w:sz w:val="22"/>
                <w:szCs w:val="22"/>
                <w:bdr w:val="nil"/>
                <w:lang w:val="de-DE"/>
              </w:rPr>
              <w:t xml:space="preserve">(z. B. durch </w:t>
            </w:r>
            <w:r>
              <w:rPr>
                <w:rFonts w:ascii="Arial" w:hAnsi="Arial" w:eastAsia="Arial" w:cs="Arial"/>
                <w:sz w:val="22"/>
                <w:szCs w:val="22"/>
                <w:bdr w:val="nil"/>
                <w:lang w:val="de-DE"/>
              </w:rPr>
              <w:t xml:space="preserve">den Erlass </w:t>
            </w:r>
            <w:r w:rsidR="0078680C">
              <w:rPr>
                <w:rFonts w:ascii="Arial" w:hAnsi="Arial" w:eastAsia="Arial" w:cs="Arial"/>
                <w:sz w:val="22"/>
                <w:szCs w:val="22"/>
                <w:bdr w:val="nil"/>
                <w:lang w:val="de-DE"/>
              </w:rPr>
              <w:t>eine</w:t>
            </w:r>
            <w:r>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Regel</w:t>
            </w:r>
            <w:r w:rsidR="0078680C">
              <w:rPr>
                <w:rFonts w:ascii="Arial" w:hAnsi="Arial" w:eastAsia="Arial" w:cs="Arial"/>
                <w:sz w:val="22"/>
                <w:szCs w:val="22"/>
                <w:bdr w:val="nil"/>
                <w:lang w:val="de-DE"/>
              </w:rPr>
              <w:t xml:space="preserve"> zur Verteilung von Schülern auf </w:t>
            </w:r>
            <w:r>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 xml:space="preserve">verschiedene Klassen). Des Weiteren sollten sie vorzugsweise über die zusätzliche </w:t>
            </w:r>
            <w:r>
              <w:rPr>
                <w:rFonts w:ascii="Arial" w:hAnsi="Arial" w:eastAsia="Arial" w:cs="Arial"/>
                <w:sz w:val="22"/>
                <w:szCs w:val="22"/>
                <w:bdr w:val="nil"/>
                <w:lang w:val="de-DE"/>
              </w:rPr>
              <w:t xml:space="preserve">Kompetenz </w:t>
            </w:r>
            <w:r w:rsidR="0078680C">
              <w:rPr>
                <w:rFonts w:ascii="Arial" w:hAnsi="Arial" w:eastAsia="Arial" w:cs="Arial"/>
                <w:sz w:val="22"/>
                <w:szCs w:val="22"/>
                <w:bdr w:val="nil"/>
                <w:lang w:val="de-DE"/>
              </w:rPr>
              <w:t xml:space="preserve">verfügen, </w:t>
            </w:r>
            <w:r>
              <w:rPr>
                <w:rFonts w:ascii="Arial" w:hAnsi="Arial" w:eastAsia="Arial" w:cs="Arial"/>
                <w:sz w:val="22"/>
                <w:szCs w:val="22"/>
                <w:bdr w:val="nil"/>
                <w:lang w:val="de-DE"/>
              </w:rPr>
              <w:t xml:space="preserve">in Diskriminierungsfällen </w:t>
            </w:r>
            <w:r w:rsidR="0078680C">
              <w:rPr>
                <w:rFonts w:ascii="Arial" w:hAnsi="Arial" w:eastAsia="Arial" w:cs="Arial"/>
                <w:sz w:val="22"/>
                <w:szCs w:val="22"/>
                <w:bdr w:val="nil"/>
                <w:lang w:val="de-DE"/>
              </w:rPr>
              <w:t>effektive, verhältnismäßige und abschreckende Sanktionen zu verhängen, einschließlich einer Entschädigung für materielle und immaterielle Schäden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12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Nr. 7 von ECRI), Bußgeldern und der Veröffentlichung der Entscheidung mit dem Namen des Täters (erstes Modell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_Ref474315831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17</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Name des Beschwerdeführers sollte nur mit dessen Zustimmung veröffentlicht werden. </w:t>
            </w:r>
          </w:p>
        </w:tc>
      </w:tr>
      <w:tr w:rsidRPr="00C0685F" w:rsidR="00D8651C" w:rsidTr="00C0685F" w14:paraId="3EC6A2BE" w14:textId="77777777">
        <w:tc>
          <w:tcPr>
            <w:tcW w:w="10112" w:type="dxa"/>
            <w:gridSpan w:val="2"/>
          </w:tcPr>
          <w:p w:rsidRPr="00C0685F" w:rsidR="00DD016F" w:rsidP="00D0083E" w:rsidRDefault="0078680C" w14:paraId="326744C9" w14:textId="06D9CDF2">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Unter dem ersten Modell sollten die Mitgliedstaaten ein System für die </w:t>
            </w:r>
            <w:r w:rsidR="002226E8">
              <w:rPr>
                <w:rFonts w:ascii="Arial" w:hAnsi="Arial" w:eastAsia="Arial" w:cs="Arial"/>
                <w:sz w:val="22"/>
                <w:szCs w:val="22"/>
                <w:bdr w:val="nil"/>
                <w:lang w:val="de-DE"/>
              </w:rPr>
              <w:t xml:space="preserve">Vollstreckung </w:t>
            </w:r>
            <w:r>
              <w:rPr>
                <w:rFonts w:ascii="Arial" w:hAnsi="Arial" w:eastAsia="Arial" w:cs="Arial"/>
                <w:sz w:val="22"/>
                <w:szCs w:val="22"/>
                <w:bdr w:val="nil"/>
                <w:lang w:val="de-DE"/>
              </w:rPr>
              <w:t xml:space="preserve">der Entscheidungen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einrichten</w:t>
            </w:r>
            <w:r w:rsidR="001771C0">
              <w:rPr>
                <w:rFonts w:ascii="Arial" w:hAnsi="Arial" w:eastAsia="Arial" w:cs="Arial"/>
                <w:sz w:val="22"/>
                <w:szCs w:val="22"/>
                <w:bdr w:val="nil"/>
                <w:lang w:val="de-DE"/>
              </w:rPr>
              <w:t>, das sich an der</w:t>
            </w:r>
            <w:r>
              <w:rPr>
                <w:rFonts w:ascii="Arial" w:hAnsi="Arial" w:eastAsia="Arial" w:cs="Arial"/>
                <w:sz w:val="22"/>
                <w:szCs w:val="22"/>
                <w:bdr w:val="nil"/>
                <w:lang w:val="de-DE"/>
              </w:rPr>
              <w:t xml:space="preserve"> Gesetzgebung zur </w:t>
            </w:r>
            <w:r w:rsidR="001771C0">
              <w:rPr>
                <w:rFonts w:ascii="Arial" w:hAnsi="Arial" w:eastAsia="Arial" w:cs="Arial"/>
                <w:sz w:val="22"/>
                <w:szCs w:val="22"/>
                <w:bdr w:val="nil"/>
                <w:lang w:val="de-DE"/>
              </w:rPr>
              <w:t>Vollstreckung</w:t>
            </w:r>
            <w:r>
              <w:rPr>
                <w:rFonts w:ascii="Arial" w:hAnsi="Arial" w:eastAsia="Arial" w:cs="Arial"/>
                <w:sz w:val="22"/>
                <w:szCs w:val="22"/>
                <w:bdr w:val="nil"/>
                <w:lang w:val="de-DE"/>
              </w:rPr>
              <w:t xml:space="preserve"> von Gerichts- und Verwaltungsentscheidungen </w:t>
            </w:r>
            <w:r w:rsidR="001771C0">
              <w:rPr>
                <w:rFonts w:ascii="Arial" w:hAnsi="Arial" w:eastAsia="Arial" w:cs="Arial"/>
                <w:sz w:val="22"/>
                <w:szCs w:val="22"/>
                <w:bdr w:val="nil"/>
                <w:lang w:val="de-DE"/>
              </w:rPr>
              <w:t>orientieren kann</w:t>
            </w:r>
            <w:r>
              <w:rPr>
                <w:rFonts w:ascii="Arial" w:hAnsi="Arial" w:eastAsia="Arial" w:cs="Arial"/>
                <w:sz w:val="22"/>
                <w:szCs w:val="22"/>
                <w:bdr w:val="nil"/>
                <w:lang w:val="de-DE"/>
              </w:rPr>
              <w:t xml:space="preserve">. </w:t>
            </w:r>
          </w:p>
        </w:tc>
      </w:tr>
      <w:tr w:rsidRPr="00C0685F" w:rsidR="00D8651C" w:rsidTr="00C0685F" w14:paraId="53303086" w14:textId="77777777">
        <w:tc>
          <w:tcPr>
            <w:tcW w:w="10112" w:type="dxa"/>
            <w:gridSpan w:val="2"/>
          </w:tcPr>
          <w:p w:rsidRPr="006353CB" w:rsidR="00DD016F" w:rsidP="005B4190" w:rsidRDefault="00D4725B" w14:paraId="655E370D" w14:textId="27F718FD">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_Ref483821601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19</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und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_Ref483821611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20</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0083E" w:rsidRDefault="002226E8" w14:paraId="6A72DA5E" w14:textId="2CA8CFC2">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Gegen rechtsverbindliche Entscheidungen sollte es</w:t>
            </w:r>
            <w:r w:rsidR="0078680C">
              <w:rPr>
                <w:rFonts w:ascii="Arial" w:hAnsi="Arial" w:eastAsia="Arial" w:cs="Arial"/>
                <w:sz w:val="22"/>
                <w:szCs w:val="22"/>
                <w:bdr w:val="nil"/>
                <w:lang w:val="de-DE"/>
              </w:rPr>
              <w:t xml:space="preserve"> möglich sein</w:t>
            </w:r>
            <w:r>
              <w:rPr>
                <w:rFonts w:ascii="Arial" w:hAnsi="Arial" w:eastAsia="Arial" w:cs="Arial"/>
                <w:sz w:val="22"/>
                <w:szCs w:val="22"/>
                <w:bdr w:val="nil"/>
                <w:lang w:val="de-DE"/>
              </w:rPr>
              <w:t>,</w:t>
            </w:r>
            <w:r w:rsidRPr="00C0685F">
              <w:rPr>
                <w:lang w:val="de-DE"/>
              </w:rPr>
              <w:t xml:space="preserve"> </w:t>
            </w:r>
            <w:r w:rsidRPr="002226E8">
              <w:rPr>
                <w:rFonts w:ascii="Arial" w:hAnsi="Arial" w:eastAsia="Arial" w:cs="Arial"/>
                <w:sz w:val="22"/>
                <w:szCs w:val="22"/>
                <w:bdr w:val="nil"/>
                <w:lang w:val="de-DE"/>
              </w:rPr>
              <w:t>Rechtsmittel zu den Gerichten einzulegen</w:t>
            </w:r>
            <w:r>
              <w:rPr>
                <w:rFonts w:ascii="Arial" w:hAnsi="Arial" w:eastAsia="Arial" w:cs="Arial"/>
                <w:sz w:val="22"/>
                <w:szCs w:val="22"/>
                <w:bdr w:val="nil"/>
                <w:lang w:val="de-DE"/>
              </w:rPr>
              <w:t>, jedoch nur</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gegen verfahrensabschließende</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Sache</w:t>
            </w:r>
            <w:r w:rsidR="0078680C">
              <w:rPr>
                <w:rFonts w:ascii="Arial" w:hAnsi="Arial" w:eastAsia="Arial" w:cs="Arial"/>
                <w:sz w:val="22"/>
                <w:szCs w:val="22"/>
                <w:bdr w:val="nil"/>
                <w:lang w:val="de-DE"/>
              </w:rPr>
              <w:t xml:space="preserve">ntscheidungen. </w:t>
            </w:r>
            <w:r>
              <w:rPr>
                <w:rFonts w:ascii="Arial" w:hAnsi="Arial" w:eastAsia="Arial" w:cs="Arial"/>
                <w:sz w:val="22"/>
                <w:szCs w:val="22"/>
                <w:bdr w:val="nil"/>
                <w:lang w:val="de-DE"/>
              </w:rPr>
              <w:t>Gegen n</w:t>
            </w:r>
            <w:r w:rsidR="0078680C">
              <w:rPr>
                <w:rFonts w:ascii="Arial" w:hAnsi="Arial" w:eastAsia="Arial" w:cs="Arial"/>
                <w:sz w:val="22"/>
                <w:szCs w:val="22"/>
                <w:bdr w:val="nil"/>
                <w:lang w:val="de-DE"/>
              </w:rPr>
              <w:t>icht verbindliche Empfehlungen sollte</w:t>
            </w:r>
            <w:r>
              <w:rPr>
                <w:rFonts w:ascii="Arial" w:hAnsi="Arial" w:eastAsia="Arial" w:cs="Arial"/>
                <w:sz w:val="22"/>
                <w:szCs w:val="22"/>
                <w:bdr w:val="nil"/>
                <w:lang w:val="de-DE"/>
              </w:rPr>
              <w:t xml:space="preserve"> kein Rechtsmittel </w:t>
            </w:r>
            <w:r w:rsidR="001771C0">
              <w:rPr>
                <w:rFonts w:ascii="Arial" w:hAnsi="Arial" w:eastAsia="Arial" w:cs="Arial"/>
                <w:sz w:val="22"/>
                <w:szCs w:val="22"/>
                <w:bdr w:val="nil"/>
                <w:lang w:val="de-DE"/>
              </w:rPr>
              <w:t>vorgesehen werden</w:t>
            </w:r>
            <w:r w:rsidR="0078680C">
              <w:rPr>
                <w:rFonts w:ascii="Arial" w:hAnsi="Arial" w:eastAsia="Arial" w:cs="Arial"/>
                <w:sz w:val="22"/>
                <w:szCs w:val="22"/>
                <w:bdr w:val="nil"/>
                <w:lang w:val="de-DE"/>
              </w:rPr>
              <w:t xml:space="preserve">. </w:t>
            </w:r>
          </w:p>
        </w:tc>
      </w:tr>
      <w:tr w:rsidRPr="00C0685F" w:rsidR="00D8651C" w:rsidTr="00C0685F" w14:paraId="0DD6444F" w14:textId="77777777">
        <w:tc>
          <w:tcPr>
            <w:tcW w:w="10112" w:type="dxa"/>
            <w:gridSpan w:val="2"/>
          </w:tcPr>
          <w:p w:rsidRPr="00C0685F" w:rsidR="00DD016F" w:rsidP="00D0083E" w:rsidRDefault="002226E8" w14:paraId="7AC25F7D" w14:textId="3F7A5E81">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Entscheidet sich </w:t>
            </w:r>
            <w:r w:rsidR="0078680C">
              <w:rPr>
                <w:rFonts w:ascii="Arial" w:hAnsi="Arial" w:eastAsia="Arial" w:cs="Arial"/>
                <w:sz w:val="22"/>
                <w:szCs w:val="22"/>
                <w:bdr w:val="nil"/>
                <w:lang w:val="de-DE"/>
              </w:rPr>
              <w:t xml:space="preserve">ein Beschwerdeführer </w:t>
            </w:r>
            <w:r>
              <w:rPr>
                <w:rFonts w:ascii="Arial" w:hAnsi="Arial" w:eastAsia="Arial" w:cs="Arial"/>
                <w:sz w:val="22"/>
                <w:szCs w:val="22"/>
                <w:bdr w:val="nil"/>
                <w:lang w:val="de-DE"/>
              </w:rPr>
              <w:t>dafür</w:t>
            </w:r>
            <w:r w:rsidR="0078680C">
              <w:rPr>
                <w:rFonts w:ascii="Arial" w:hAnsi="Arial" w:eastAsia="Arial" w:cs="Arial"/>
                <w:sz w:val="22"/>
                <w:szCs w:val="22"/>
                <w:bdr w:val="nil"/>
                <w:lang w:val="de-DE"/>
              </w:rPr>
              <w:t xml:space="preserve">, zunächst ein Verfahren bei Gericht anzustrengen, sollte ihm nicht gestattet werden, anschließend für denselben </w:t>
            </w:r>
            <w:r>
              <w:rPr>
                <w:rFonts w:ascii="Arial" w:hAnsi="Arial" w:eastAsia="Arial" w:cs="Arial"/>
                <w:sz w:val="22"/>
                <w:szCs w:val="22"/>
                <w:bdr w:val="nil"/>
                <w:lang w:val="de-DE"/>
              </w:rPr>
              <w:t xml:space="preserve">Sachverhalt </w:t>
            </w:r>
            <w:r w:rsidR="0078680C">
              <w:rPr>
                <w:rFonts w:ascii="Arial" w:hAnsi="Arial" w:eastAsia="Arial" w:cs="Arial"/>
                <w:sz w:val="22"/>
                <w:szCs w:val="22"/>
                <w:bdr w:val="nil"/>
                <w:lang w:val="de-DE"/>
              </w:rPr>
              <w:t>noch ein Verfahren vor eine</w:t>
            </w:r>
            <w:r>
              <w:rPr>
                <w:rFonts w:ascii="Arial" w:hAnsi="Arial" w:eastAsia="Arial" w:cs="Arial"/>
                <w:sz w:val="22"/>
                <w:szCs w:val="22"/>
                <w:bdr w:val="nil"/>
                <w:lang w:val="de-DE"/>
              </w:rPr>
              <w:t xml:space="preserv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Pr>
                <w:rFonts w:ascii="Arial" w:hAnsi="Arial" w:eastAsia="Arial" w:cs="Arial"/>
                <w:sz w:val="22"/>
                <w:szCs w:val="22"/>
                <w:bdr w:val="nil"/>
                <w:lang w:val="de-DE"/>
              </w:rPr>
              <w:t xml:space="preserve">mit Entscheidungsfunktion </w:t>
            </w:r>
            <w:r w:rsidR="0078680C">
              <w:rPr>
                <w:rFonts w:ascii="Arial" w:hAnsi="Arial" w:eastAsia="Arial" w:cs="Arial"/>
                <w:sz w:val="22"/>
                <w:szCs w:val="22"/>
                <w:bdr w:val="nil"/>
                <w:lang w:val="de-DE"/>
              </w:rPr>
              <w:t>einzuleiten.</w:t>
            </w:r>
          </w:p>
        </w:tc>
      </w:tr>
      <w:tr w:rsidRPr="00C0685F" w:rsidR="00D8651C" w:rsidTr="00C0685F" w14:paraId="6452EEB4" w14:textId="77777777">
        <w:tc>
          <w:tcPr>
            <w:tcW w:w="10112" w:type="dxa"/>
            <w:gridSpan w:val="2"/>
          </w:tcPr>
          <w:p w:rsidRPr="00C0685F" w:rsidR="00DD016F" w:rsidP="00FE358E" w:rsidRDefault="0078680C" w14:paraId="700754F3" w14:textId="77777777">
            <w:pPr>
              <w:pStyle w:val="berschrift11"/>
              <w:numPr>
                <w:ilvl w:val="0"/>
                <w:numId w:val="30"/>
              </w:numPr>
              <w:spacing w:before="100" w:beforeAutospacing="1" w:after="100" w:afterAutospacing="1" w:line="240" w:lineRule="exact"/>
              <w:ind w:left="743"/>
              <w:rPr>
                <w:rFonts w:ascii="Arial" w:hAnsi="Arial"/>
                <w:lang w:val="de-DE"/>
              </w:rPr>
            </w:pPr>
            <w:r>
              <w:rPr>
                <w:rFonts w:ascii="Arial" w:hAnsi="Arial" w:eastAsia="Arial" w:cs="Arial"/>
                <w:bCs/>
                <w:szCs w:val="22"/>
                <w:bdr w:val="nil"/>
                <w:lang w:val="de-DE"/>
              </w:rPr>
              <w:t xml:space="preserve">Befugnis, Beweise und Informationen zu erheben </w:t>
            </w:r>
          </w:p>
        </w:tc>
      </w:tr>
      <w:tr w:rsidRPr="00046FAE" w:rsidR="00D8651C" w:rsidTr="00C0685F" w14:paraId="4FEEC064" w14:textId="77777777">
        <w:tc>
          <w:tcPr>
            <w:tcW w:w="10112" w:type="dxa"/>
            <w:gridSpan w:val="2"/>
          </w:tcPr>
          <w:p w:rsidRPr="006353CB" w:rsidR="00DD016F" w:rsidP="005B4190" w:rsidRDefault="00786C47" w14:paraId="5C9C561E" w14:textId="3A7D0F7A">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_Ref483821625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21</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971178" w:rsidRDefault="00781974" w14:paraId="74A097DC" w14:textId="2B99E50B">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benötigen angemessene Befugnisse, </w:t>
            </w:r>
            <w:r w:rsidR="002226E8">
              <w:rPr>
                <w:rFonts w:ascii="Arial" w:hAnsi="Arial" w:eastAsia="Arial" w:cs="Arial"/>
                <w:sz w:val="22"/>
                <w:szCs w:val="22"/>
                <w:bdr w:val="nil"/>
                <w:lang w:val="de-DE"/>
              </w:rPr>
              <w:t xml:space="preserve">um </w:t>
            </w:r>
            <w:r w:rsidR="001771C0">
              <w:rPr>
                <w:rFonts w:ascii="Arial" w:hAnsi="Arial" w:eastAsia="Arial" w:cs="Arial"/>
                <w:sz w:val="22"/>
                <w:szCs w:val="22"/>
                <w:bdr w:val="nil"/>
                <w:lang w:val="de-DE"/>
              </w:rPr>
              <w:t xml:space="preserve">für </w:t>
            </w:r>
            <w:r w:rsidR="0078680C">
              <w:rPr>
                <w:rFonts w:ascii="Arial" w:hAnsi="Arial" w:eastAsia="Arial" w:cs="Arial"/>
                <w:sz w:val="22"/>
                <w:szCs w:val="22"/>
                <w:bdr w:val="nil"/>
                <w:lang w:val="de-DE"/>
              </w:rPr>
              <w:t xml:space="preserve">alle drei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 xml:space="preserve">n, die in dieser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aufgeführt sind, </w:t>
            </w:r>
            <w:r w:rsidR="001771C0">
              <w:rPr>
                <w:rFonts w:ascii="Arial" w:hAnsi="Arial" w:eastAsia="Arial" w:cs="Arial"/>
                <w:sz w:val="22"/>
                <w:szCs w:val="22"/>
                <w:bdr w:val="nil"/>
                <w:lang w:val="de-DE"/>
              </w:rPr>
              <w:t xml:space="preserve">Beweise und Informationen </w:t>
            </w:r>
            <w:r w:rsidR="0078680C">
              <w:rPr>
                <w:rFonts w:ascii="Arial" w:hAnsi="Arial" w:eastAsia="Arial" w:cs="Arial"/>
                <w:sz w:val="22"/>
                <w:szCs w:val="22"/>
                <w:bdr w:val="nil"/>
                <w:lang w:val="de-DE"/>
              </w:rPr>
              <w:t xml:space="preserve">zu erheben. Die Befugnisse von Stellen mit </w:t>
            </w:r>
            <w:r w:rsidR="008A1AFD">
              <w:rPr>
                <w:rFonts w:ascii="Arial" w:hAnsi="Arial" w:eastAsia="Arial" w:cs="Arial"/>
                <w:sz w:val="22"/>
                <w:szCs w:val="22"/>
                <w:bdr w:val="nil"/>
                <w:lang w:val="de-DE"/>
              </w:rPr>
              <w:t>Entscheidungsfunktion</w:t>
            </w:r>
            <w:r w:rsidR="0078680C">
              <w:rPr>
                <w:rFonts w:ascii="Arial" w:hAnsi="Arial" w:eastAsia="Arial" w:cs="Arial"/>
                <w:sz w:val="22"/>
                <w:szCs w:val="22"/>
                <w:bdr w:val="nil"/>
                <w:lang w:val="de-DE"/>
              </w:rPr>
              <w:t xml:space="preserve"> können weit</w:t>
            </w:r>
            <w:r w:rsidR="001771C0">
              <w:rPr>
                <w:rFonts w:ascii="Arial" w:hAnsi="Arial" w:eastAsia="Arial" w:cs="Arial"/>
                <w:sz w:val="22"/>
                <w:szCs w:val="22"/>
                <w:bdr w:val="nil"/>
                <w:lang w:val="de-DE"/>
              </w:rPr>
              <w:t xml:space="preserve">er </w:t>
            </w:r>
            <w:r w:rsidR="0078680C">
              <w:rPr>
                <w:rFonts w:ascii="Arial" w:hAnsi="Arial" w:eastAsia="Arial" w:cs="Arial"/>
                <w:sz w:val="22"/>
                <w:szCs w:val="22"/>
                <w:bdr w:val="nil"/>
                <w:lang w:val="de-DE"/>
              </w:rPr>
              <w:t xml:space="preserve">reichen als jene </w:t>
            </w:r>
            <w:r w:rsidR="0078680C">
              <w:rPr>
                <w:rFonts w:ascii="Arial" w:hAnsi="Arial" w:eastAsia="Arial" w:cs="Arial"/>
                <w:sz w:val="22"/>
                <w:szCs w:val="22"/>
                <w:bdr w:val="nil"/>
                <w:lang w:val="de-DE"/>
              </w:rPr>
              <w:lastRenderedPageBreak/>
              <w:t xml:space="preserve">von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die </w:t>
            </w:r>
            <w:r w:rsidR="001771C0">
              <w:rPr>
                <w:rFonts w:ascii="Arial" w:hAnsi="Arial" w:eastAsia="Arial" w:cs="Arial"/>
                <w:sz w:val="22"/>
                <w:szCs w:val="22"/>
                <w:bdr w:val="nil"/>
                <w:lang w:val="de-DE"/>
              </w:rPr>
              <w:t xml:space="preserve">ausschließlich </w:t>
            </w:r>
            <w:r w:rsidR="0078680C">
              <w:rPr>
                <w:rFonts w:ascii="Arial" w:hAnsi="Arial" w:eastAsia="Arial" w:cs="Arial"/>
                <w:sz w:val="22"/>
                <w:szCs w:val="22"/>
                <w:bdr w:val="nil"/>
                <w:lang w:val="de-DE"/>
              </w:rPr>
              <w:t xml:space="preserve">mit </w:t>
            </w:r>
            <w:r w:rsidR="002226E8">
              <w:rPr>
                <w:rFonts w:ascii="Arial" w:hAnsi="Arial" w:eastAsia="Arial" w:cs="Arial"/>
                <w:sz w:val="22"/>
                <w:szCs w:val="22"/>
                <w:bdr w:val="nil"/>
                <w:lang w:val="de-DE"/>
              </w:rPr>
              <w:t xml:space="preserve">der </w:t>
            </w:r>
            <w:r w:rsidRPr="002226E8" w:rsidR="002226E8">
              <w:rPr>
                <w:rFonts w:ascii="Arial" w:hAnsi="Arial" w:eastAsia="Arial" w:cs="Arial"/>
                <w:sz w:val="22"/>
                <w:szCs w:val="22"/>
                <w:bdr w:val="nil"/>
                <w:lang w:val="de-DE"/>
              </w:rPr>
              <w:t>Förderungs- und Präventions</w:t>
            </w:r>
            <w:r w:rsidR="002226E8">
              <w:rPr>
                <w:rFonts w:ascii="Arial" w:hAnsi="Arial" w:eastAsia="Arial" w:cs="Arial"/>
                <w:sz w:val="22"/>
                <w:szCs w:val="22"/>
                <w:bdr w:val="nil"/>
                <w:lang w:val="de-DE"/>
              </w:rPr>
              <w:t xml:space="preserve">- und </w:t>
            </w:r>
            <w:r w:rsidR="001771C0">
              <w:rPr>
                <w:rFonts w:ascii="Arial" w:hAnsi="Arial" w:eastAsia="Arial" w:cs="Arial"/>
                <w:sz w:val="22"/>
                <w:szCs w:val="22"/>
                <w:bdr w:val="nil"/>
                <w:lang w:val="de-DE"/>
              </w:rPr>
              <w:t xml:space="preserve">der </w:t>
            </w:r>
            <w:r w:rsidRPr="002226E8" w:rsidR="002226E8">
              <w:rPr>
                <w:rFonts w:ascii="Arial" w:hAnsi="Arial" w:eastAsia="Arial" w:cs="Arial"/>
                <w:sz w:val="22"/>
                <w:szCs w:val="22"/>
                <w:bdr w:val="nil"/>
                <w:lang w:val="de-DE"/>
              </w:rPr>
              <w:t xml:space="preserve">Unterstützungs- und Rechtsdurchsetzungsfunktion </w:t>
            </w:r>
            <w:r w:rsidR="002226E8">
              <w:rPr>
                <w:rFonts w:ascii="Arial" w:hAnsi="Arial" w:eastAsia="Arial" w:cs="Arial"/>
                <w:sz w:val="22"/>
                <w:szCs w:val="22"/>
                <w:bdr w:val="nil"/>
                <w:lang w:val="de-DE"/>
              </w:rPr>
              <w:t>betraut sind</w:t>
            </w:r>
            <w:r w:rsidR="0078680C">
              <w:rPr>
                <w:rFonts w:ascii="Arial" w:hAnsi="Arial" w:eastAsia="Arial" w:cs="Arial"/>
                <w:sz w:val="22"/>
                <w:szCs w:val="22"/>
                <w:bdr w:val="nil"/>
                <w:lang w:val="de-DE"/>
              </w:rPr>
              <w:t xml:space="preserve">. </w:t>
            </w:r>
          </w:p>
        </w:tc>
      </w:tr>
      <w:tr w:rsidR="00D8651C" w:rsidTr="00C0685F" w14:paraId="33E8726D" w14:textId="77777777">
        <w:tc>
          <w:tcPr>
            <w:tcW w:w="10112" w:type="dxa"/>
            <w:gridSpan w:val="2"/>
          </w:tcPr>
          <w:p w:rsidRPr="006353CB" w:rsidR="00DD016F" w:rsidP="008E2E49" w:rsidRDefault="0078680C" w14:paraId="5E566834" w14:textId="4850F485">
            <w:pPr>
              <w:pStyle w:val="berschrift11"/>
              <w:numPr>
                <w:ilvl w:val="0"/>
                <w:numId w:val="30"/>
              </w:numPr>
              <w:spacing w:before="100" w:beforeAutospacing="1" w:after="100" w:afterAutospacing="1" w:line="240" w:lineRule="exact"/>
              <w:ind w:left="743"/>
              <w:rPr>
                <w:rFonts w:ascii="Arial" w:hAnsi="Arial" w:cs="Arial"/>
                <w:szCs w:val="22"/>
              </w:rPr>
            </w:pPr>
            <w:r>
              <w:rPr>
                <w:rFonts w:ascii="Arial" w:hAnsi="Arial" w:eastAsia="Arial" w:cs="Arial"/>
                <w:bCs/>
                <w:szCs w:val="22"/>
                <w:bdr w:val="nil"/>
                <w:lang w:val="de-DE"/>
              </w:rPr>
              <w:lastRenderedPageBreak/>
              <w:t xml:space="preserve">Unabhängigkeit und </w:t>
            </w:r>
            <w:r w:rsidR="00C31827">
              <w:rPr>
                <w:rFonts w:ascii="Arial" w:hAnsi="Arial" w:eastAsia="Arial" w:cs="Arial"/>
                <w:bCs/>
                <w:szCs w:val="22"/>
                <w:bdr w:val="nil"/>
                <w:lang w:val="de-DE"/>
              </w:rPr>
              <w:t>Effektivität</w:t>
            </w:r>
          </w:p>
        </w:tc>
      </w:tr>
      <w:tr w:rsidRPr="00C0685F" w:rsidR="00D8651C" w:rsidTr="00C0685F" w14:paraId="4B7242BD" w14:textId="77777777">
        <w:tc>
          <w:tcPr>
            <w:tcW w:w="10112" w:type="dxa"/>
            <w:gridSpan w:val="2"/>
          </w:tcPr>
          <w:p w:rsidRPr="006353CB" w:rsidR="00DD016F" w:rsidP="005B4190" w:rsidRDefault="00786C47" w14:paraId="777A89C6" w14:textId="02DDB829">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_Ref483821638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22</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096DEE" w14:paraId="33046A64" w14:textId="59EA643D">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Um die bestmöglichen Wirkungen und Ergebnisse </w:t>
            </w:r>
            <w:r w:rsidR="0078680C">
              <w:rPr>
                <w:rFonts w:ascii="Arial" w:hAnsi="Arial" w:eastAsia="Arial" w:cs="Arial"/>
                <w:sz w:val="22"/>
                <w:szCs w:val="22"/>
                <w:bdr w:val="nil"/>
                <w:lang w:val="de-DE"/>
              </w:rPr>
              <w:t xml:space="preserve">im Bereich </w:t>
            </w:r>
            <w:r>
              <w:rPr>
                <w:rFonts w:ascii="Arial" w:hAnsi="Arial" w:eastAsia="Arial" w:cs="Arial"/>
                <w:sz w:val="22"/>
                <w:szCs w:val="22"/>
                <w:bdr w:val="nil"/>
                <w:lang w:val="de-DE"/>
              </w:rPr>
              <w:t xml:space="preserve">der </w:t>
            </w:r>
            <w:r w:rsidR="0078680C">
              <w:rPr>
                <w:rFonts w:ascii="Arial" w:hAnsi="Arial" w:eastAsia="Arial" w:cs="Arial"/>
                <w:sz w:val="22"/>
                <w:szCs w:val="22"/>
                <w:bdr w:val="nil"/>
                <w:lang w:val="de-DE"/>
              </w:rPr>
              <w:t>Gleich</w:t>
            </w:r>
            <w:r>
              <w:rPr>
                <w:rFonts w:ascii="Arial" w:hAnsi="Arial" w:eastAsia="Arial" w:cs="Arial"/>
                <w:sz w:val="22"/>
                <w:szCs w:val="22"/>
                <w:bdr w:val="nil"/>
                <w:lang w:val="de-DE"/>
              </w:rPr>
              <w:t>heit zu erzielen, s</w:t>
            </w:r>
            <w:r w:rsidR="0078680C">
              <w:rPr>
                <w:rFonts w:ascii="Arial" w:hAnsi="Arial" w:eastAsia="Arial" w:cs="Arial"/>
                <w:sz w:val="22"/>
                <w:szCs w:val="22"/>
                <w:bdr w:val="nil"/>
                <w:lang w:val="de-DE"/>
              </w:rPr>
              <w:t xml:space="preserve">ollten die Mitgliedstaaten eine Reihe von Vorkehrungen treffen, um die Unabhängigkeit und Effektivität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zu gewährleisten (siehe auch die </w:t>
            </w:r>
            <w:r w:rsidR="00D4725B">
              <w:rPr>
                <w:rFonts w:ascii="Arial" w:hAnsi="Arial" w:eastAsia="Arial" w:cs="Arial"/>
                <w:sz w:val="22"/>
                <w:szCs w:val="22"/>
                <w:bdr w:val="nil"/>
                <w:lang w:val="de-DE"/>
              </w:rPr>
              <w:t>§</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C0685F" w:rsidR="0078680C">
              <w:rPr>
                <w:rFonts w:ascii="Arial" w:hAnsi="Arial"/>
                <w:sz w:val="22"/>
                <w:lang w:val="de-DE"/>
              </w:rPr>
              <w:instrText xml:space="preserve"> REF _Ref486586899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2</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und </w:t>
            </w:r>
            <w:r w:rsidRPr="006353CB" w:rsidR="0078680C">
              <w:rPr>
                <w:rFonts w:ascii="Arial" w:hAnsi="Arial" w:cs="Arial"/>
                <w:sz w:val="22"/>
                <w:szCs w:val="22"/>
                <w:lang w:val="en-GB"/>
              </w:rPr>
              <w:fldChar w:fldCharType="begin"/>
            </w:r>
            <w:r w:rsidRPr="00C0685F" w:rsidR="0078680C">
              <w:rPr>
                <w:rFonts w:ascii="Arial" w:hAnsi="Arial"/>
                <w:sz w:val="22"/>
                <w:lang w:val="de-DE"/>
              </w:rPr>
              <w:instrText xml:space="preserve"> REF _Ref486586501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w:t>
            </w:r>
          </w:p>
        </w:tc>
      </w:tr>
      <w:tr w:rsidRPr="00046FAE" w:rsidR="00D8651C" w:rsidTr="00C0685F" w14:paraId="1338D377" w14:textId="77777777">
        <w:tc>
          <w:tcPr>
            <w:tcW w:w="10112" w:type="dxa"/>
            <w:gridSpan w:val="2"/>
          </w:tcPr>
          <w:p w:rsidRPr="006353CB" w:rsidR="00DD016F" w:rsidP="005B4190" w:rsidRDefault="00D4725B" w14:paraId="79772047" w14:textId="157ACC87">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_Ref483821651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23</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_Ref483821679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26</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096DEE" w14:paraId="6A1E38E7" w14:textId="3D294EC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Führung von hoher Qualität und Integrität </w:t>
            </w:r>
            <w:r w:rsidR="0078680C">
              <w:rPr>
                <w:rFonts w:ascii="Arial" w:hAnsi="Arial" w:eastAsia="Arial" w:cs="Arial"/>
                <w:sz w:val="22"/>
                <w:szCs w:val="22"/>
                <w:bdr w:val="nil"/>
                <w:lang w:val="de-DE"/>
              </w:rPr>
              <w:t xml:space="preserve">ist für die Unabhängigkeit und Effektivität von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unerlässlich.</w:t>
            </w:r>
            <w:r w:rsidR="001771C0">
              <w:rPr>
                <w:rFonts w:ascii="Arial" w:hAnsi="Arial" w:eastAsia="Arial" w:cs="Arial"/>
                <w:sz w:val="22"/>
                <w:szCs w:val="22"/>
                <w:bdr w:val="nil"/>
                <w:lang w:val="de-DE"/>
              </w:rPr>
              <w:t xml:space="preserve"> Daher</w:t>
            </w:r>
            <w:r w:rsidR="0078680C">
              <w:rPr>
                <w:rFonts w:ascii="Arial" w:hAnsi="Arial" w:eastAsia="Arial" w:cs="Arial"/>
                <w:sz w:val="22"/>
                <w:szCs w:val="22"/>
                <w:bdr w:val="nil"/>
                <w:lang w:val="de-DE"/>
              </w:rPr>
              <w:t xml:space="preserve"> enthält </w:t>
            </w:r>
            <w:r w:rsidR="001771C0">
              <w:rPr>
                <w:rFonts w:ascii="Arial" w:hAnsi="Arial" w:eastAsia="Arial" w:cs="Arial"/>
                <w:sz w:val="22"/>
                <w:szCs w:val="22"/>
                <w:bdr w:val="nil"/>
                <w:lang w:val="de-DE"/>
              </w:rPr>
              <w:t xml:space="preserve">diese APE </w:t>
            </w:r>
            <w:r w:rsidR="0078680C">
              <w:rPr>
                <w:rFonts w:ascii="Arial" w:hAnsi="Arial" w:eastAsia="Arial" w:cs="Arial"/>
                <w:sz w:val="22"/>
                <w:szCs w:val="22"/>
                <w:bdr w:val="nil"/>
                <w:lang w:val="de-DE"/>
              </w:rPr>
              <w:t xml:space="preserve">mehrere Empfehlungen in Bezug auf die Leitung von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p>
          <w:p w:rsidRPr="006C29B1" w:rsidR="00DD016F" w:rsidP="00D41099" w:rsidRDefault="0078680C" w14:paraId="2479F287" w14:textId="6A199317">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bookmarkStart w:name="_Ref474312075" w:id="55"/>
            <w:bookmarkStart w:name="_Ref476237734" w:id="56"/>
            <w:r>
              <w:rPr>
                <w:rFonts w:ascii="Arial" w:hAnsi="Arial" w:eastAsia="Arial" w:cs="Arial"/>
                <w:sz w:val="22"/>
                <w:szCs w:val="22"/>
                <w:bdr w:val="nil"/>
                <w:lang w:val="de-DE"/>
              </w:rPr>
              <w:t xml:space="preserve">Wie in </w:t>
            </w:r>
            <w:r w:rsidR="00096DEE">
              <w:rPr>
                <w:rFonts w:ascii="Arial" w:hAnsi="Arial" w:eastAsia="Arial" w:cs="Arial"/>
                <w:sz w:val="22"/>
                <w:szCs w:val="22"/>
                <w:bdr w:val="nil"/>
                <w:lang w:val="de-DE"/>
              </w:rPr>
              <w:t xml:space="preserve">ECRI’s </w:t>
            </w:r>
            <w:r>
              <w:rPr>
                <w:rFonts w:ascii="Arial" w:hAnsi="Arial" w:eastAsia="Arial" w:cs="Arial"/>
                <w:sz w:val="22"/>
                <w:szCs w:val="22"/>
                <w:bdr w:val="nil"/>
                <w:lang w:val="de-DE"/>
              </w:rPr>
              <w:t>Länderberichten dokumentiert</w:t>
            </w:r>
            <w:r w:rsidR="00096DEE">
              <w:rPr>
                <w:rFonts w:ascii="Arial" w:hAnsi="Arial" w:eastAsia="Arial" w:cs="Arial"/>
                <w:sz w:val="22"/>
                <w:szCs w:val="22"/>
                <w:bdr w:val="nil"/>
                <w:lang w:val="de-DE"/>
              </w:rPr>
              <w:t>,</w:t>
            </w:r>
            <w:r>
              <w:rPr>
                <w:rFonts w:ascii="Arial" w:hAnsi="Arial" w:eastAsia="Arial" w:cs="Arial"/>
                <w:sz w:val="22"/>
                <w:szCs w:val="22"/>
                <w:bdr w:val="nil"/>
                <w:lang w:val="de-DE"/>
              </w:rPr>
              <w:t xml:space="preserve"> </w:t>
            </w:r>
            <w:r w:rsidR="00096DEE">
              <w:rPr>
                <w:rFonts w:ascii="Arial" w:hAnsi="Arial" w:eastAsia="Arial" w:cs="Arial"/>
                <w:sz w:val="22"/>
                <w:szCs w:val="22"/>
                <w:bdr w:val="nil"/>
                <w:lang w:val="de-DE"/>
              </w:rPr>
              <w:t xml:space="preserve">unterscheiden sich </w:t>
            </w:r>
            <w:r>
              <w:rPr>
                <w:rFonts w:ascii="Arial" w:hAnsi="Arial" w:eastAsia="Arial" w:cs="Arial"/>
                <w:sz w:val="22"/>
                <w:szCs w:val="22"/>
                <w:bdr w:val="nil"/>
                <w:lang w:val="de-DE"/>
              </w:rPr>
              <w:t xml:space="preserve">die Leitungsmodelle für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in den Mitgliedstaaten </w:t>
            </w:r>
            <w:bookmarkEnd w:id="55"/>
            <w:r>
              <w:rPr>
                <w:rFonts w:ascii="Arial" w:hAnsi="Arial" w:eastAsia="Arial" w:cs="Arial"/>
                <w:sz w:val="22"/>
                <w:szCs w:val="22"/>
                <w:bdr w:val="nil"/>
                <w:lang w:val="de-DE"/>
              </w:rPr>
              <w:t xml:space="preserve">erheblich.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können </w:t>
            </w:r>
            <w:r w:rsidR="00096DEE">
              <w:rPr>
                <w:rFonts w:ascii="Arial" w:hAnsi="Arial" w:eastAsia="Arial" w:cs="Arial"/>
                <w:sz w:val="22"/>
                <w:szCs w:val="22"/>
                <w:bdr w:val="nil"/>
                <w:lang w:val="de-DE"/>
              </w:rPr>
              <w:t>durch</w:t>
            </w:r>
            <w:r>
              <w:rPr>
                <w:rFonts w:ascii="Arial" w:hAnsi="Arial" w:eastAsia="Arial" w:cs="Arial"/>
                <w:sz w:val="22"/>
                <w:szCs w:val="22"/>
                <w:bdr w:val="nil"/>
                <w:lang w:val="de-DE"/>
              </w:rPr>
              <w:t xml:space="preserve"> eine</w:t>
            </w:r>
            <w:r w:rsidR="00096DEE">
              <w:rPr>
                <w:rFonts w:ascii="Arial" w:hAnsi="Arial" w:eastAsia="Arial" w:cs="Arial"/>
                <w:sz w:val="22"/>
                <w:szCs w:val="22"/>
                <w:bdr w:val="nil"/>
                <w:lang w:val="de-DE"/>
              </w:rPr>
              <w:t>n in Vollzeit oder Teilzeit tätigen</w:t>
            </w:r>
            <w:r>
              <w:rPr>
                <w:rFonts w:ascii="Arial" w:hAnsi="Arial" w:eastAsia="Arial" w:cs="Arial"/>
                <w:sz w:val="22"/>
                <w:szCs w:val="22"/>
                <w:bdr w:val="nil"/>
                <w:lang w:val="de-DE"/>
              </w:rPr>
              <w:t xml:space="preserve"> </w:t>
            </w:r>
            <w:r w:rsidR="00096DEE">
              <w:rPr>
                <w:rFonts w:ascii="Arial" w:hAnsi="Arial" w:eastAsia="Arial" w:cs="Arial"/>
                <w:sz w:val="22"/>
                <w:szCs w:val="22"/>
                <w:bdr w:val="nil"/>
                <w:lang w:val="de-DE"/>
              </w:rPr>
              <w:t>Leiter oder Präsidenten des Leitungsorgans der Stelle geführt werden</w:t>
            </w:r>
            <w:r>
              <w:rPr>
                <w:rFonts w:ascii="Arial" w:hAnsi="Arial" w:eastAsia="Arial" w:cs="Arial"/>
                <w:sz w:val="22"/>
                <w:szCs w:val="22"/>
                <w:bdr w:val="nil"/>
                <w:lang w:val="de-DE"/>
              </w:rPr>
              <w:t xml:space="preserve">, </w:t>
            </w:r>
            <w:r w:rsidR="00096DEE">
              <w:rPr>
                <w:rFonts w:ascii="Arial" w:hAnsi="Arial" w:eastAsia="Arial" w:cs="Arial"/>
                <w:sz w:val="22"/>
                <w:szCs w:val="22"/>
                <w:bdr w:val="nil"/>
                <w:lang w:val="de-DE"/>
              </w:rPr>
              <w:t xml:space="preserve">durch </w:t>
            </w:r>
            <w:r>
              <w:rPr>
                <w:rFonts w:ascii="Arial" w:hAnsi="Arial" w:eastAsia="Arial" w:cs="Arial"/>
                <w:sz w:val="22"/>
                <w:szCs w:val="22"/>
                <w:bdr w:val="nil"/>
                <w:lang w:val="de-DE"/>
              </w:rPr>
              <w:t xml:space="preserve">eine </w:t>
            </w:r>
            <w:r w:rsidR="00096DEE">
              <w:rPr>
                <w:rFonts w:ascii="Arial" w:hAnsi="Arial" w:eastAsia="Arial" w:cs="Arial"/>
                <w:sz w:val="22"/>
                <w:szCs w:val="22"/>
                <w:bdr w:val="nil"/>
                <w:lang w:val="de-DE"/>
              </w:rPr>
              <w:t xml:space="preserve">einzelne, </w:t>
            </w:r>
            <w:r>
              <w:rPr>
                <w:rFonts w:ascii="Arial" w:hAnsi="Arial" w:eastAsia="Arial" w:cs="Arial"/>
                <w:sz w:val="22"/>
                <w:szCs w:val="22"/>
                <w:bdr w:val="nil"/>
                <w:lang w:val="de-DE"/>
              </w:rPr>
              <w:t xml:space="preserve">ernannten Person (z. B. </w:t>
            </w:r>
            <w:r w:rsidR="00096DEE">
              <w:rPr>
                <w:rFonts w:ascii="Arial" w:hAnsi="Arial" w:eastAsia="Arial" w:cs="Arial"/>
                <w:sz w:val="22"/>
                <w:szCs w:val="22"/>
                <w:bdr w:val="nil"/>
                <w:lang w:val="de-DE"/>
              </w:rPr>
              <w:t>eine Ombudsperson</w:t>
            </w:r>
            <w:r>
              <w:rPr>
                <w:rFonts w:ascii="Arial" w:hAnsi="Arial" w:eastAsia="Arial" w:cs="Arial"/>
                <w:sz w:val="22"/>
                <w:szCs w:val="22"/>
                <w:bdr w:val="nil"/>
                <w:lang w:val="de-DE"/>
              </w:rPr>
              <w:t xml:space="preserve">), mit Stellvertretern, die für unterschiedliche Themenbereiche zuständig sind (z. B. stellvertretende </w:t>
            </w:r>
            <w:r w:rsidR="00096DEE">
              <w:rPr>
                <w:rFonts w:ascii="Arial" w:hAnsi="Arial" w:eastAsia="Arial" w:cs="Arial"/>
                <w:sz w:val="22"/>
                <w:szCs w:val="22"/>
                <w:bdr w:val="nil"/>
                <w:lang w:val="de-DE"/>
              </w:rPr>
              <w:t>Ombudspersonen</w:t>
            </w:r>
            <w:r>
              <w:rPr>
                <w:rFonts w:ascii="Arial" w:hAnsi="Arial" w:eastAsia="Arial" w:cs="Arial"/>
                <w:sz w:val="22"/>
                <w:szCs w:val="22"/>
                <w:bdr w:val="nil"/>
                <w:lang w:val="de-DE"/>
              </w:rPr>
              <w:t>) oder eine</w:t>
            </w:r>
            <w:r w:rsidR="00096DEE">
              <w:rPr>
                <w:rFonts w:ascii="Arial" w:hAnsi="Arial" w:eastAsia="Arial" w:cs="Arial"/>
                <w:sz w:val="22"/>
                <w:szCs w:val="22"/>
                <w:bdr w:val="nil"/>
                <w:lang w:val="de-DE"/>
              </w:rPr>
              <w:t>n</w:t>
            </w:r>
            <w:r>
              <w:rPr>
                <w:rFonts w:ascii="Arial" w:hAnsi="Arial" w:eastAsia="Arial" w:cs="Arial"/>
                <w:sz w:val="22"/>
                <w:szCs w:val="22"/>
                <w:bdr w:val="nil"/>
                <w:lang w:val="de-DE"/>
              </w:rPr>
              <w:t xml:space="preserve"> leitenden </w:t>
            </w:r>
            <w:r w:rsidR="00096DEE">
              <w:rPr>
                <w:rFonts w:ascii="Arial" w:hAnsi="Arial" w:eastAsia="Arial" w:cs="Arial"/>
                <w:sz w:val="22"/>
                <w:szCs w:val="22"/>
                <w:bdr w:val="nil"/>
                <w:lang w:val="de-DE"/>
              </w:rPr>
              <w:t>Angestellten</w:t>
            </w:r>
            <w:r>
              <w:rPr>
                <w:rFonts w:ascii="Arial" w:hAnsi="Arial" w:eastAsia="Arial" w:cs="Arial"/>
                <w:sz w:val="22"/>
                <w:szCs w:val="22"/>
                <w:bdr w:val="nil"/>
                <w:lang w:val="de-DE"/>
              </w:rPr>
              <w:t xml:space="preserve"> (z. B. eine Person, die eingestellt wurde, um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zu leiten, die dann dem </w:t>
            </w:r>
            <w:r w:rsidR="00096DEE">
              <w:rPr>
                <w:rFonts w:ascii="Arial" w:hAnsi="Arial" w:eastAsia="Arial" w:cs="Arial"/>
                <w:sz w:val="22"/>
                <w:szCs w:val="22"/>
                <w:bdr w:val="nil"/>
                <w:lang w:val="de-DE"/>
              </w:rPr>
              <w:t xml:space="preserve">Aufsichtsorgan </w:t>
            </w:r>
            <w:r>
              <w:rPr>
                <w:rFonts w:ascii="Arial" w:hAnsi="Arial" w:eastAsia="Arial" w:cs="Arial"/>
                <w:sz w:val="22"/>
                <w:szCs w:val="22"/>
                <w:bdr w:val="nil"/>
                <w:lang w:val="de-DE"/>
              </w:rPr>
              <w:t>Rechenschaft ablegt).</w:t>
            </w:r>
            <w:bookmarkEnd w:id="56"/>
          </w:p>
          <w:p w:rsidRPr="00C0685F" w:rsidR="00DD016F" w:rsidP="00D41099" w:rsidRDefault="0078680C" w14:paraId="7559DB23" w14:textId="5641FF09">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Die </w:t>
            </w:r>
            <w:r w:rsidR="00434DF5">
              <w:rPr>
                <w:rFonts w:ascii="Arial" w:hAnsi="Arial" w:eastAsia="Arial" w:cs="Arial"/>
                <w:sz w:val="22"/>
                <w:szCs w:val="22"/>
                <w:bdr w:val="nil"/>
                <w:lang w:val="de-DE"/>
              </w:rPr>
              <w:t>primäre</w:t>
            </w:r>
            <w:r w:rsidR="00096DEE">
              <w:rPr>
                <w:rFonts w:ascii="Arial" w:hAnsi="Arial" w:eastAsia="Arial" w:cs="Arial"/>
                <w:sz w:val="22"/>
                <w:szCs w:val="22"/>
                <w:bdr w:val="nil"/>
                <w:lang w:val="de-DE"/>
              </w:rPr>
              <w:t xml:space="preserve"> </w:t>
            </w:r>
            <w:r w:rsidR="00834FF8">
              <w:rPr>
                <w:rFonts w:ascii="Arial" w:hAnsi="Arial" w:eastAsia="Arial" w:cs="Arial"/>
                <w:sz w:val="22"/>
                <w:szCs w:val="22"/>
                <w:bdr w:val="nil"/>
                <w:lang w:val="de-DE"/>
              </w:rPr>
              <w:t>Schutzmaßnahme zur Sicherstellung einer</w:t>
            </w:r>
            <w:r>
              <w:rPr>
                <w:rFonts w:ascii="Arial" w:hAnsi="Arial" w:eastAsia="Arial" w:cs="Arial"/>
                <w:sz w:val="22"/>
                <w:szCs w:val="22"/>
                <w:bdr w:val="nil"/>
                <w:lang w:val="de-DE"/>
              </w:rPr>
              <w:t xml:space="preserve"> unabhängige</w:t>
            </w:r>
            <w:r w:rsidR="00834FF8">
              <w:rPr>
                <w:rFonts w:ascii="Arial" w:hAnsi="Arial" w:eastAsia="Arial" w:cs="Arial"/>
                <w:sz w:val="22"/>
                <w:szCs w:val="22"/>
                <w:bdr w:val="nil"/>
                <w:lang w:val="de-DE"/>
              </w:rPr>
              <w:t>n</w:t>
            </w:r>
            <w:r>
              <w:rPr>
                <w:rFonts w:ascii="Arial" w:hAnsi="Arial" w:eastAsia="Arial" w:cs="Arial"/>
                <w:sz w:val="22"/>
                <w:szCs w:val="22"/>
                <w:bdr w:val="nil"/>
                <w:lang w:val="de-DE"/>
              </w:rPr>
              <w:t xml:space="preserve"> Leitung </w:t>
            </w:r>
            <w:r w:rsidR="00096DEE">
              <w:rPr>
                <w:rFonts w:ascii="Arial" w:hAnsi="Arial" w:eastAsia="Arial" w:cs="Arial"/>
                <w:sz w:val="22"/>
                <w:szCs w:val="22"/>
                <w:bdr w:val="nil"/>
                <w:lang w:val="de-DE"/>
              </w:rPr>
              <w:t>von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w:t>
            </w:r>
            <w:r w:rsidR="00096DEE">
              <w:rPr>
                <w:rFonts w:ascii="Arial" w:hAnsi="Arial" w:eastAsia="Arial" w:cs="Arial"/>
                <w:sz w:val="22"/>
                <w:szCs w:val="22"/>
                <w:bdr w:val="nil"/>
                <w:lang w:val="de-DE"/>
              </w:rPr>
              <w:t xml:space="preserve"> </w:t>
            </w:r>
            <w:r>
              <w:rPr>
                <w:rFonts w:ascii="Arial" w:hAnsi="Arial" w:eastAsia="Arial" w:cs="Arial"/>
                <w:sz w:val="22"/>
                <w:szCs w:val="22"/>
                <w:bdr w:val="nil"/>
                <w:lang w:val="de-DE"/>
              </w:rPr>
              <w:t>ist</w:t>
            </w:r>
            <w:r w:rsidR="00096DEE">
              <w:rPr>
                <w:rFonts w:ascii="Arial" w:hAnsi="Arial" w:eastAsia="Arial" w:cs="Arial"/>
                <w:sz w:val="22"/>
                <w:szCs w:val="22"/>
                <w:bdr w:val="nil"/>
                <w:lang w:val="de-DE"/>
              </w:rPr>
              <w:t>, die</w:t>
            </w:r>
            <w:r>
              <w:rPr>
                <w:rFonts w:ascii="Arial" w:hAnsi="Arial" w:eastAsia="Arial" w:cs="Arial"/>
                <w:sz w:val="22"/>
                <w:szCs w:val="22"/>
                <w:bdr w:val="nil"/>
                <w:lang w:val="de-DE"/>
              </w:rPr>
              <w:t xml:space="preserve"> Personen für Führungspositionen mittels eines transparenten und kompetenzbasierten Prozesses</w:t>
            </w:r>
            <w:r w:rsidR="00096DEE">
              <w:rPr>
                <w:rFonts w:ascii="Arial" w:hAnsi="Arial" w:eastAsia="Arial" w:cs="Arial"/>
                <w:sz w:val="22"/>
                <w:szCs w:val="22"/>
                <w:bdr w:val="nil"/>
                <w:lang w:val="de-DE"/>
              </w:rPr>
              <w:t xml:space="preserve"> auszuwählen</w:t>
            </w:r>
            <w:r>
              <w:rPr>
                <w:rFonts w:ascii="Arial" w:hAnsi="Arial" w:eastAsia="Arial" w:cs="Arial"/>
                <w:sz w:val="22"/>
                <w:szCs w:val="22"/>
                <w:bdr w:val="nil"/>
                <w:lang w:val="de-DE"/>
              </w:rPr>
              <w:t xml:space="preserve">, der für die gesamte Dauer des </w:t>
            </w:r>
            <w:r w:rsidR="00434DF5">
              <w:rPr>
                <w:rFonts w:ascii="Arial" w:hAnsi="Arial" w:eastAsia="Arial" w:cs="Arial"/>
                <w:sz w:val="22"/>
                <w:szCs w:val="22"/>
                <w:bdr w:val="nil"/>
                <w:lang w:val="de-DE"/>
              </w:rPr>
              <w:t xml:space="preserve">Verfahrens </w:t>
            </w:r>
            <w:r w:rsidR="00834FF8">
              <w:rPr>
                <w:rFonts w:ascii="Arial" w:hAnsi="Arial" w:eastAsia="Arial" w:cs="Arial"/>
                <w:sz w:val="22"/>
                <w:szCs w:val="22"/>
                <w:bdr w:val="nil"/>
                <w:lang w:val="de-DE"/>
              </w:rPr>
              <w:t>Schutzmechanismen</w:t>
            </w:r>
            <w:r w:rsidRPr="00834FF8" w:rsidR="00834FF8">
              <w:rPr>
                <w:rFonts w:ascii="Arial" w:hAnsi="Arial" w:eastAsia="Arial" w:cs="Arial"/>
                <w:sz w:val="22"/>
                <w:szCs w:val="22"/>
                <w:bdr w:val="nil"/>
                <w:lang w:val="de-DE"/>
              </w:rPr>
              <w:t xml:space="preserve"> gegen </w:t>
            </w:r>
            <w:r w:rsidR="00834FF8">
              <w:rPr>
                <w:rFonts w:ascii="Arial" w:hAnsi="Arial" w:eastAsia="Arial" w:cs="Arial"/>
                <w:sz w:val="22"/>
                <w:szCs w:val="22"/>
                <w:bdr w:val="nil"/>
                <w:lang w:val="de-DE"/>
              </w:rPr>
              <w:t xml:space="preserve">jegliche </w:t>
            </w:r>
            <w:r w:rsidRPr="00834FF8" w:rsidR="00834FF8">
              <w:rPr>
                <w:rFonts w:ascii="Arial" w:hAnsi="Arial" w:eastAsia="Arial" w:cs="Arial"/>
                <w:sz w:val="22"/>
                <w:szCs w:val="22"/>
                <w:bdr w:val="nil"/>
                <w:lang w:val="de-DE"/>
              </w:rPr>
              <w:t xml:space="preserve">entscheidende Einflussnahme seitens der Exekutive </w:t>
            </w:r>
            <w:r w:rsidR="00834FF8">
              <w:rPr>
                <w:rFonts w:ascii="Arial" w:hAnsi="Arial" w:eastAsia="Arial" w:cs="Arial"/>
                <w:sz w:val="22"/>
                <w:szCs w:val="22"/>
                <w:bdr w:val="nil"/>
                <w:lang w:val="de-DE"/>
              </w:rPr>
              <w:t>aufweist</w:t>
            </w:r>
            <w:r>
              <w:rPr>
                <w:rFonts w:ascii="Arial" w:hAnsi="Arial" w:eastAsia="Arial" w:cs="Arial"/>
                <w:sz w:val="22"/>
                <w:szCs w:val="22"/>
                <w:bdr w:val="nil"/>
                <w:lang w:val="de-DE"/>
              </w:rPr>
              <w:t xml:space="preserve">, insbesondere in der </w:t>
            </w:r>
            <w:r w:rsidR="00834FF8">
              <w:rPr>
                <w:rFonts w:ascii="Arial" w:hAnsi="Arial" w:eastAsia="Arial" w:cs="Arial"/>
                <w:sz w:val="22"/>
                <w:szCs w:val="22"/>
                <w:bdr w:val="nil"/>
                <w:lang w:val="de-DE"/>
              </w:rPr>
              <w:t>Phase der Nominierung</w:t>
            </w:r>
            <w:r>
              <w:rPr>
                <w:rFonts w:ascii="Arial" w:hAnsi="Arial" w:eastAsia="Arial" w:cs="Arial"/>
                <w:sz w:val="22"/>
                <w:szCs w:val="22"/>
                <w:bdr w:val="nil"/>
                <w:lang w:val="de-DE"/>
              </w:rPr>
              <w:t xml:space="preserve"> oder (Vor-)</w:t>
            </w:r>
            <w:r w:rsidR="00834FF8">
              <w:rPr>
                <w:rFonts w:ascii="Arial" w:hAnsi="Arial" w:eastAsia="Arial" w:cs="Arial"/>
                <w:sz w:val="22"/>
                <w:szCs w:val="22"/>
                <w:bdr w:val="nil"/>
                <w:lang w:val="de-DE"/>
              </w:rPr>
              <w:t xml:space="preserve"> </w:t>
            </w:r>
            <w:r>
              <w:rPr>
                <w:rFonts w:ascii="Arial" w:hAnsi="Arial" w:eastAsia="Arial" w:cs="Arial"/>
                <w:sz w:val="22"/>
                <w:szCs w:val="22"/>
                <w:bdr w:val="nil"/>
                <w:lang w:val="de-DE"/>
              </w:rPr>
              <w:t>Auswahl der Kandidaten und in der Entscheidungsphase. Dieser Prozess sollte partizipatorisch sein, was bedeutet, dass Organisationen, die Gruppen vertreten oder mit Gruppen arbeiten, die Diskriminierung und Intoleranz ausgesetzt sind, in diese</w:t>
            </w:r>
            <w:r w:rsidR="00834FF8">
              <w:rPr>
                <w:rFonts w:ascii="Arial" w:hAnsi="Arial" w:eastAsia="Arial" w:cs="Arial"/>
                <w:sz w:val="22"/>
                <w:szCs w:val="22"/>
                <w:bdr w:val="nil"/>
                <w:lang w:val="de-DE"/>
              </w:rPr>
              <w:t>m mitwirken</w:t>
            </w:r>
            <w:r>
              <w:rPr>
                <w:rFonts w:ascii="Arial" w:hAnsi="Arial" w:eastAsia="Arial" w:cs="Arial"/>
                <w:sz w:val="22"/>
                <w:szCs w:val="22"/>
                <w:bdr w:val="nil"/>
                <w:lang w:val="de-DE"/>
              </w:rPr>
              <w:t xml:space="preserve"> sollten. Die Wahl durch das Parlament im Rahmen eines offenen und transparenten </w:t>
            </w:r>
            <w:r w:rsidR="00434DF5">
              <w:rPr>
                <w:rFonts w:ascii="Arial" w:hAnsi="Arial" w:eastAsia="Arial" w:cs="Arial"/>
                <w:sz w:val="22"/>
                <w:szCs w:val="22"/>
                <w:bdr w:val="nil"/>
                <w:lang w:val="de-DE"/>
              </w:rPr>
              <w:t xml:space="preserve">Verfahrens </w:t>
            </w:r>
            <w:r>
              <w:rPr>
                <w:rFonts w:ascii="Arial" w:hAnsi="Arial" w:eastAsia="Arial" w:cs="Arial"/>
                <w:sz w:val="22"/>
                <w:szCs w:val="22"/>
                <w:bdr w:val="nil"/>
                <w:lang w:val="de-DE"/>
              </w:rPr>
              <w:t>ist eine Möglichkeit, diese Bedingungen zu erfüllen.</w:t>
            </w:r>
          </w:p>
        </w:tc>
      </w:tr>
      <w:tr w:rsidRPr="00C0685F" w:rsidR="00D8651C" w:rsidTr="00C0685F" w14:paraId="7727352A" w14:textId="77777777">
        <w:tc>
          <w:tcPr>
            <w:tcW w:w="10112" w:type="dxa"/>
            <w:gridSpan w:val="2"/>
          </w:tcPr>
          <w:p w:rsidRPr="00C0685F" w:rsidR="00DD016F" w:rsidP="00D41099" w:rsidRDefault="0078680C" w14:paraId="0615388D" w14:textId="51B4E7AC">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Personen, die Führungspositionen bekleiden, sollten den gleichen Schutz vor Bedrohungen und Zwang genießen wie vergleichbare Vertreter des Staates. Das </w:t>
            </w:r>
            <w:r w:rsidR="00434DF5">
              <w:rPr>
                <w:rFonts w:ascii="Arial" w:hAnsi="Arial" w:eastAsia="Arial" w:cs="Arial"/>
                <w:sz w:val="22"/>
                <w:szCs w:val="22"/>
                <w:bdr w:val="nil"/>
                <w:lang w:val="de-DE"/>
              </w:rPr>
              <w:t xml:space="preserve">Gesetz </w:t>
            </w:r>
            <w:r>
              <w:rPr>
                <w:rFonts w:ascii="Arial" w:hAnsi="Arial" w:eastAsia="Arial" w:cs="Arial"/>
                <w:sz w:val="22"/>
                <w:szCs w:val="22"/>
                <w:bdr w:val="nil"/>
                <w:lang w:val="de-DE"/>
              </w:rPr>
              <w:t xml:space="preserve">sollte Bestimmungen über die Bedingungen enthalten, </w:t>
            </w:r>
            <w:r w:rsidR="00834FF8">
              <w:rPr>
                <w:rFonts w:ascii="Arial" w:hAnsi="Arial" w:eastAsia="Arial" w:cs="Arial"/>
                <w:sz w:val="22"/>
                <w:szCs w:val="22"/>
                <w:bdr w:val="nil"/>
                <w:lang w:val="de-DE"/>
              </w:rPr>
              <w:t>unter denen</w:t>
            </w:r>
            <w:r>
              <w:rPr>
                <w:rFonts w:ascii="Arial" w:hAnsi="Arial" w:eastAsia="Arial" w:cs="Arial"/>
                <w:sz w:val="22"/>
                <w:szCs w:val="22"/>
                <w:bdr w:val="nil"/>
                <w:lang w:val="de-DE"/>
              </w:rPr>
              <w:t xml:space="preserve"> Personen in Führungspositionen </w:t>
            </w:r>
            <w:r w:rsidR="00834FF8">
              <w:rPr>
                <w:rFonts w:ascii="Arial" w:hAnsi="Arial" w:eastAsia="Arial" w:cs="Arial"/>
                <w:sz w:val="22"/>
                <w:szCs w:val="22"/>
                <w:bdr w:val="nil"/>
                <w:lang w:val="de-DE"/>
              </w:rPr>
              <w:t xml:space="preserve">in Ausnahmefällen </w:t>
            </w:r>
            <w:r>
              <w:rPr>
                <w:rFonts w:ascii="Arial" w:hAnsi="Arial" w:eastAsia="Arial" w:cs="Arial"/>
                <w:sz w:val="22"/>
                <w:szCs w:val="22"/>
                <w:bdr w:val="nil"/>
                <w:lang w:val="de-DE"/>
              </w:rPr>
              <w:t>entlassen oder vom Auswahlprozess aus</w:t>
            </w:r>
            <w:r w:rsidR="00834FF8">
              <w:rPr>
                <w:rFonts w:ascii="Arial" w:hAnsi="Arial" w:eastAsia="Arial" w:cs="Arial"/>
                <w:sz w:val="22"/>
                <w:szCs w:val="22"/>
                <w:bdr w:val="nil"/>
                <w:lang w:val="de-DE"/>
              </w:rPr>
              <w:t>ges</w:t>
            </w:r>
            <w:r>
              <w:rPr>
                <w:rFonts w:ascii="Arial" w:hAnsi="Arial" w:eastAsia="Arial" w:cs="Arial"/>
                <w:sz w:val="22"/>
                <w:szCs w:val="22"/>
                <w:bdr w:val="nil"/>
                <w:lang w:val="de-DE"/>
              </w:rPr>
              <w:t>chl</w:t>
            </w:r>
            <w:r w:rsidR="00834FF8">
              <w:rPr>
                <w:rFonts w:ascii="Arial" w:hAnsi="Arial" w:eastAsia="Arial" w:cs="Arial"/>
                <w:sz w:val="22"/>
                <w:szCs w:val="22"/>
                <w:bdr w:val="nil"/>
                <w:lang w:val="de-DE"/>
              </w:rPr>
              <w:t>ossen werden können</w:t>
            </w:r>
            <w:r>
              <w:rPr>
                <w:rFonts w:ascii="Arial" w:hAnsi="Arial" w:eastAsia="Arial" w:cs="Arial"/>
                <w:sz w:val="22"/>
                <w:szCs w:val="22"/>
                <w:bdr w:val="nil"/>
                <w:lang w:val="de-DE"/>
              </w:rPr>
              <w:t xml:space="preserve">, der zu einer Verlängerung des Mandats führen könnte. Änderungen des Mandats oder eine Umstrukturierung der Institution sollten nicht zur Entlassung von Personen in Führungspositionen führen. Diese Personen </w:t>
            </w:r>
            <w:r w:rsidR="00434DF5">
              <w:rPr>
                <w:rFonts w:ascii="Arial" w:hAnsi="Arial" w:eastAsia="Arial" w:cs="Arial"/>
                <w:sz w:val="22"/>
                <w:szCs w:val="22"/>
                <w:bdr w:val="nil"/>
                <w:lang w:val="de-DE"/>
              </w:rPr>
              <w:t>für</w:t>
            </w:r>
            <w:r>
              <w:rPr>
                <w:rFonts w:ascii="Arial" w:hAnsi="Arial" w:eastAsia="Arial" w:cs="Arial"/>
                <w:sz w:val="22"/>
                <w:szCs w:val="22"/>
                <w:bdr w:val="nil"/>
                <w:lang w:val="de-DE"/>
              </w:rPr>
              <w:t xml:space="preserve"> die </w:t>
            </w:r>
            <w:r w:rsidR="00434DF5">
              <w:rPr>
                <w:rFonts w:ascii="Arial" w:hAnsi="Arial" w:eastAsia="Arial" w:cs="Arial"/>
                <w:sz w:val="22"/>
                <w:szCs w:val="22"/>
                <w:bdr w:val="nil"/>
                <w:lang w:val="de-DE"/>
              </w:rPr>
              <w:t xml:space="preserve">Ausübung </w:t>
            </w:r>
            <w:r>
              <w:rPr>
                <w:rFonts w:ascii="Arial" w:hAnsi="Arial" w:eastAsia="Arial" w:cs="Arial"/>
                <w:sz w:val="22"/>
                <w:szCs w:val="22"/>
                <w:bdr w:val="nil"/>
                <w:lang w:val="de-DE"/>
              </w:rPr>
              <w:t xml:space="preserve">ihrer </w:t>
            </w:r>
            <w:r w:rsidR="00C90BFE">
              <w:rPr>
                <w:rFonts w:ascii="Arial" w:hAnsi="Arial" w:eastAsia="Arial" w:cs="Arial"/>
                <w:sz w:val="22"/>
                <w:szCs w:val="22"/>
                <w:bdr w:val="nil"/>
                <w:lang w:val="de-DE"/>
              </w:rPr>
              <w:t>Funktione</w:t>
            </w:r>
            <w:r>
              <w:rPr>
                <w:rFonts w:ascii="Arial" w:hAnsi="Arial" w:eastAsia="Arial" w:cs="Arial"/>
                <w:sz w:val="22"/>
                <w:szCs w:val="22"/>
                <w:bdr w:val="nil"/>
                <w:lang w:val="de-DE"/>
              </w:rPr>
              <w:t xml:space="preserve">n </w:t>
            </w:r>
            <w:r w:rsidRPr="00434DF5" w:rsidR="00434DF5">
              <w:rPr>
                <w:rFonts w:ascii="Arial" w:hAnsi="Arial" w:eastAsia="Arial" w:cs="Arial"/>
                <w:sz w:val="22"/>
                <w:szCs w:val="22"/>
                <w:bdr w:val="nil"/>
                <w:lang w:val="de-DE"/>
              </w:rPr>
              <w:t>mit einer angemessenen Immunität</w:t>
            </w:r>
            <w:r w:rsidRPr="00434DF5" w:rsidDel="00434DF5" w:rsidR="00434DF5">
              <w:rPr>
                <w:rFonts w:ascii="Arial" w:hAnsi="Arial" w:eastAsia="Arial" w:cs="Arial"/>
                <w:sz w:val="22"/>
                <w:szCs w:val="22"/>
                <w:bdr w:val="nil"/>
                <w:lang w:val="de-DE"/>
              </w:rPr>
              <w:t xml:space="preserve"> </w:t>
            </w:r>
            <w:r w:rsidR="00434DF5">
              <w:rPr>
                <w:rFonts w:ascii="Arial" w:hAnsi="Arial" w:eastAsia="Arial" w:cs="Arial"/>
                <w:sz w:val="22"/>
                <w:szCs w:val="22"/>
                <w:bdr w:val="nil"/>
                <w:lang w:val="de-DE"/>
              </w:rPr>
              <w:t>auszustatten</w:t>
            </w:r>
            <w:r>
              <w:rPr>
                <w:rFonts w:ascii="Arial" w:hAnsi="Arial" w:eastAsia="Arial" w:cs="Arial"/>
                <w:sz w:val="22"/>
                <w:szCs w:val="22"/>
                <w:bdr w:val="nil"/>
                <w:lang w:val="de-DE"/>
              </w:rPr>
              <w:t xml:space="preserve">, </w:t>
            </w:r>
            <w:r w:rsidR="00434DF5">
              <w:rPr>
                <w:rFonts w:ascii="Arial" w:hAnsi="Arial" w:eastAsia="Arial" w:cs="Arial"/>
                <w:sz w:val="22"/>
                <w:szCs w:val="22"/>
                <w:bdr w:val="nil"/>
                <w:lang w:val="de-DE"/>
              </w:rPr>
              <w:t xml:space="preserve">stellt </w:t>
            </w:r>
            <w:r>
              <w:rPr>
                <w:rFonts w:ascii="Arial" w:hAnsi="Arial" w:eastAsia="Arial" w:cs="Arial"/>
                <w:sz w:val="22"/>
                <w:szCs w:val="22"/>
                <w:bdr w:val="nil"/>
                <w:lang w:val="de-DE"/>
              </w:rPr>
              <w:t>eine zusätzliche Absicherung ihrer Unabhängigkeit</w:t>
            </w:r>
            <w:r w:rsidR="00434DF5">
              <w:rPr>
                <w:rFonts w:ascii="Arial" w:hAnsi="Arial" w:eastAsia="Arial" w:cs="Arial"/>
                <w:sz w:val="22"/>
                <w:szCs w:val="22"/>
                <w:bdr w:val="nil"/>
                <w:lang w:val="de-DE"/>
              </w:rPr>
              <w:t xml:space="preserve"> dar</w:t>
            </w:r>
            <w:r>
              <w:rPr>
                <w:rFonts w:ascii="Arial" w:hAnsi="Arial" w:eastAsia="Arial" w:cs="Arial"/>
                <w:sz w:val="22"/>
                <w:szCs w:val="22"/>
                <w:bdr w:val="nil"/>
                <w:lang w:val="de-DE"/>
              </w:rPr>
              <w:t xml:space="preserve">. Details und Standards </w:t>
            </w:r>
            <w:r w:rsidR="00434DF5">
              <w:rPr>
                <w:rFonts w:ascii="Arial" w:hAnsi="Arial" w:eastAsia="Arial" w:cs="Arial"/>
                <w:sz w:val="22"/>
                <w:szCs w:val="22"/>
                <w:bdr w:val="nil"/>
                <w:lang w:val="de-DE"/>
              </w:rPr>
              <w:t xml:space="preserve">hierzu </w:t>
            </w:r>
            <w:r>
              <w:rPr>
                <w:rFonts w:ascii="Arial" w:hAnsi="Arial" w:eastAsia="Arial" w:cs="Arial"/>
                <w:sz w:val="22"/>
                <w:szCs w:val="22"/>
                <w:bdr w:val="nil"/>
                <w:lang w:val="de-DE"/>
              </w:rPr>
              <w:t>finden sich im Bericht der Venedig-Kommission des Europarats über Umfang und Aufhebung der parlamentarischen Immunität, CDL-AD(2014)011.</w:t>
            </w:r>
          </w:p>
        </w:tc>
      </w:tr>
      <w:tr w:rsidRPr="00046FAE" w:rsidR="00D8651C" w:rsidTr="00C0685F" w14:paraId="55388A23" w14:textId="77777777">
        <w:tc>
          <w:tcPr>
            <w:tcW w:w="10112" w:type="dxa"/>
            <w:gridSpan w:val="2"/>
          </w:tcPr>
          <w:p w:rsidRPr="00C0685F" w:rsidR="00DD016F" w:rsidP="00D41099" w:rsidRDefault="0078680C" w14:paraId="362F7216" w14:textId="7D9F9C7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Personen, die Führungspositionen bekleiden, </w:t>
            </w:r>
            <w:r w:rsidR="00834FF8">
              <w:rPr>
                <w:rFonts w:ascii="Arial" w:hAnsi="Arial" w:eastAsia="Arial" w:cs="Arial"/>
                <w:sz w:val="22"/>
                <w:szCs w:val="22"/>
                <w:bdr w:val="nil"/>
                <w:lang w:val="de-DE"/>
              </w:rPr>
              <w:t xml:space="preserve">sollten </w:t>
            </w:r>
            <w:r>
              <w:rPr>
                <w:rFonts w:ascii="Arial" w:hAnsi="Arial" w:eastAsia="Arial" w:cs="Arial"/>
                <w:sz w:val="22"/>
                <w:szCs w:val="22"/>
                <w:bdr w:val="nil"/>
                <w:lang w:val="de-DE"/>
              </w:rPr>
              <w:t xml:space="preserve">keiner Tätigkeit nachgehen oder Mitglieder von Gremien oder Institutionen sein, die die Unabhängigkeit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unterminieren oder anderweitig ihre Rollen kompromittieren könnten. Sie sollten z. B. keine Regierungsminister, leitende Beamte oder Leiter von Berufsverbänden sein.</w:t>
            </w:r>
          </w:p>
        </w:tc>
      </w:tr>
      <w:tr w:rsidRPr="00046FAE" w:rsidR="00D8651C" w:rsidTr="00C0685F" w14:paraId="3E8DA36D" w14:textId="77777777">
        <w:tc>
          <w:tcPr>
            <w:tcW w:w="10112" w:type="dxa"/>
            <w:gridSpan w:val="2"/>
          </w:tcPr>
          <w:p w:rsidRPr="00C0685F" w:rsidR="00DD016F" w:rsidP="00D41099" w:rsidRDefault="0078680C" w14:paraId="751839E0" w14:textId="46CABC64">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lastRenderedPageBreak/>
              <w:t>Eine starke und stabile Leitung ist für d</w:t>
            </w:r>
            <w:r w:rsidR="00434DF5">
              <w:rPr>
                <w:rFonts w:ascii="Arial" w:hAnsi="Arial" w:eastAsia="Arial" w:cs="Arial"/>
                <w:sz w:val="22"/>
                <w:szCs w:val="22"/>
                <w:bdr w:val="nil"/>
                <w:lang w:val="de-DE"/>
              </w:rPr>
              <w:t xml:space="preserve">ie Wirksamkeit </w:t>
            </w:r>
            <w:r>
              <w:rPr>
                <w:rFonts w:ascii="Arial" w:hAnsi="Arial" w:eastAsia="Arial" w:cs="Arial"/>
                <w:sz w:val="22"/>
                <w:szCs w:val="22"/>
                <w:bdr w:val="nil"/>
                <w:lang w:val="de-DE"/>
              </w:rPr>
              <w:t xml:space="preserve">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ausschlaggebend. </w:t>
            </w:r>
            <w:r w:rsidR="00834FF8">
              <w:rPr>
                <w:rFonts w:ascii="Arial" w:hAnsi="Arial" w:eastAsia="Arial" w:cs="Arial"/>
                <w:sz w:val="22"/>
                <w:szCs w:val="22"/>
                <w:bdr w:val="nil"/>
                <w:lang w:val="de-DE"/>
              </w:rPr>
              <w:t>Die</w:t>
            </w:r>
            <w:r>
              <w:rPr>
                <w:rFonts w:ascii="Arial" w:hAnsi="Arial" w:eastAsia="Arial" w:cs="Arial"/>
                <w:sz w:val="22"/>
                <w:szCs w:val="22"/>
                <w:bdr w:val="nil"/>
                <w:lang w:val="de-DE"/>
              </w:rPr>
              <w:t xml:space="preserve"> für die Leitung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verantwortlich</w:t>
            </w:r>
            <w:r w:rsidR="00834FF8">
              <w:rPr>
                <w:rFonts w:ascii="Arial" w:hAnsi="Arial" w:eastAsia="Arial" w:cs="Arial"/>
                <w:sz w:val="22"/>
                <w:szCs w:val="22"/>
                <w:bdr w:val="nil"/>
                <w:lang w:val="de-DE"/>
              </w:rPr>
              <w:t>en Personen</w:t>
            </w:r>
            <w:r>
              <w:rPr>
                <w:rFonts w:ascii="Arial" w:hAnsi="Arial" w:eastAsia="Arial" w:cs="Arial"/>
                <w:sz w:val="22"/>
                <w:szCs w:val="22"/>
                <w:bdr w:val="nil"/>
                <w:lang w:val="de-DE"/>
              </w:rPr>
              <w:t xml:space="preserve"> müssen in den verschiedenen Bereichen ihres Mandats </w:t>
            </w:r>
            <w:r w:rsidRPr="00834FF8" w:rsidR="00834FF8">
              <w:rPr>
                <w:rFonts w:ascii="Arial" w:hAnsi="Arial" w:eastAsia="Arial" w:cs="Arial"/>
                <w:sz w:val="22"/>
                <w:szCs w:val="22"/>
                <w:bdr w:val="nil"/>
                <w:lang w:val="de-DE"/>
              </w:rPr>
              <w:t xml:space="preserve">Fortschritte und </w:t>
            </w:r>
            <w:r w:rsidR="00834FF8">
              <w:rPr>
                <w:rFonts w:ascii="Arial" w:hAnsi="Arial" w:eastAsia="Arial" w:cs="Arial"/>
                <w:sz w:val="22"/>
                <w:szCs w:val="22"/>
                <w:bdr w:val="nil"/>
                <w:lang w:val="de-DE"/>
              </w:rPr>
              <w:t>Wirkung erzielen,</w:t>
            </w:r>
            <w:r>
              <w:rPr>
                <w:rFonts w:ascii="Arial" w:hAnsi="Arial" w:eastAsia="Arial" w:cs="Arial"/>
                <w:sz w:val="22"/>
                <w:szCs w:val="22"/>
                <w:bdr w:val="nil"/>
                <w:lang w:val="de-DE"/>
              </w:rPr>
              <w:t xml:space="preserve"> </w:t>
            </w:r>
            <w:r w:rsidR="00834FF8">
              <w:rPr>
                <w:rFonts w:ascii="Arial" w:hAnsi="Arial" w:eastAsia="Arial" w:cs="Arial"/>
                <w:sz w:val="22"/>
                <w:szCs w:val="22"/>
                <w:bdr w:val="nil"/>
                <w:lang w:val="de-DE"/>
              </w:rPr>
              <w:t xml:space="preserve">sich </w:t>
            </w:r>
            <w:r>
              <w:rPr>
                <w:rFonts w:ascii="Arial" w:hAnsi="Arial" w:eastAsia="Arial" w:cs="Arial"/>
                <w:sz w:val="22"/>
                <w:szCs w:val="22"/>
                <w:bdr w:val="nil"/>
                <w:lang w:val="de-DE"/>
              </w:rPr>
              <w:t xml:space="preserve">gleichzeitig </w:t>
            </w:r>
            <w:r w:rsidR="00834FF8">
              <w:rPr>
                <w:rFonts w:ascii="Arial" w:hAnsi="Arial" w:eastAsia="Arial" w:cs="Arial"/>
                <w:sz w:val="22"/>
                <w:szCs w:val="22"/>
                <w:bdr w:val="nil"/>
                <w:lang w:val="de-DE"/>
              </w:rPr>
              <w:t xml:space="preserve">auf </w:t>
            </w:r>
            <w:r>
              <w:rPr>
                <w:rFonts w:ascii="Arial" w:hAnsi="Arial" w:eastAsia="Arial" w:cs="Arial"/>
                <w:sz w:val="22"/>
                <w:szCs w:val="22"/>
                <w:bdr w:val="nil"/>
                <w:lang w:val="de-DE"/>
              </w:rPr>
              <w:t xml:space="preserve">einen sich stetig wandelnden politischen Kontext </w:t>
            </w:r>
            <w:r w:rsidR="00834FF8">
              <w:rPr>
                <w:rFonts w:ascii="Arial" w:hAnsi="Arial" w:eastAsia="Arial" w:cs="Arial"/>
                <w:sz w:val="22"/>
                <w:szCs w:val="22"/>
                <w:bdr w:val="nil"/>
                <w:lang w:val="de-DE"/>
              </w:rPr>
              <w:t xml:space="preserve">einstellen </w:t>
            </w:r>
            <w:r>
              <w:rPr>
                <w:rFonts w:ascii="Arial" w:hAnsi="Arial" w:eastAsia="Arial" w:cs="Arial"/>
                <w:sz w:val="22"/>
                <w:szCs w:val="22"/>
                <w:bdr w:val="nil"/>
                <w:lang w:val="de-DE"/>
              </w:rPr>
              <w:t xml:space="preserve">und das Mandat und die Unabhängigkeit der Stelle </w:t>
            </w:r>
            <w:r w:rsidR="00434DF5">
              <w:rPr>
                <w:rFonts w:ascii="Arial" w:hAnsi="Arial" w:eastAsia="Arial" w:cs="Arial"/>
                <w:sz w:val="22"/>
                <w:szCs w:val="22"/>
                <w:bdr w:val="nil"/>
                <w:lang w:val="de-DE"/>
              </w:rPr>
              <w:t>hoch</w:t>
            </w:r>
            <w:r w:rsidR="00834FF8">
              <w:rPr>
                <w:rFonts w:ascii="Arial" w:hAnsi="Arial" w:eastAsia="Arial" w:cs="Arial"/>
                <w:sz w:val="22"/>
                <w:szCs w:val="22"/>
                <w:bdr w:val="nil"/>
                <w:lang w:val="de-DE"/>
              </w:rPr>
              <w:t>halten</w:t>
            </w:r>
            <w:r>
              <w:rPr>
                <w:rFonts w:ascii="Arial" w:hAnsi="Arial" w:eastAsia="Arial" w:cs="Arial"/>
                <w:sz w:val="22"/>
                <w:szCs w:val="22"/>
                <w:bdr w:val="nil"/>
                <w:lang w:val="de-DE"/>
              </w:rPr>
              <w:t xml:space="preserve">. </w:t>
            </w:r>
            <w:r w:rsidR="00434DF5">
              <w:rPr>
                <w:rFonts w:ascii="Arial" w:hAnsi="Arial" w:eastAsia="Arial" w:cs="Arial"/>
                <w:sz w:val="22"/>
                <w:szCs w:val="22"/>
                <w:bdr w:val="nil"/>
                <w:lang w:val="de-DE"/>
              </w:rPr>
              <w:t xml:space="preserve">Darüber hinaus </w:t>
            </w:r>
            <w:r>
              <w:rPr>
                <w:rFonts w:ascii="Arial" w:hAnsi="Arial" w:eastAsia="Arial" w:cs="Arial"/>
                <w:sz w:val="22"/>
                <w:szCs w:val="22"/>
                <w:bdr w:val="nil"/>
                <w:lang w:val="de-DE"/>
              </w:rPr>
              <w:t xml:space="preserve">müssen </w:t>
            </w:r>
            <w:r w:rsidR="00434DF5">
              <w:rPr>
                <w:rFonts w:ascii="Arial" w:hAnsi="Arial" w:eastAsia="Arial" w:cs="Arial"/>
                <w:sz w:val="22"/>
                <w:szCs w:val="22"/>
                <w:bdr w:val="nil"/>
                <w:lang w:val="de-DE"/>
              </w:rPr>
              <w:t>sie</w:t>
            </w:r>
            <w:r>
              <w:rPr>
                <w:rFonts w:ascii="Arial" w:hAnsi="Arial" w:eastAsia="Arial" w:cs="Arial"/>
                <w:sz w:val="22"/>
                <w:szCs w:val="22"/>
                <w:bdr w:val="nil"/>
                <w:lang w:val="de-DE"/>
              </w:rPr>
              <w:t xml:space="preserve"> eine professionelle und engagierte Belegschaft aufbauen, die sich auf die strategischen Prioritäten der Stelle konzentriert, und eine </w:t>
            </w:r>
            <w:r w:rsidR="00834FF8">
              <w:rPr>
                <w:rFonts w:ascii="Arial" w:hAnsi="Arial" w:eastAsia="Arial" w:cs="Arial"/>
                <w:sz w:val="22"/>
                <w:szCs w:val="22"/>
                <w:bdr w:val="nil"/>
                <w:lang w:val="de-DE"/>
              </w:rPr>
              <w:t xml:space="preserve">Reihe </w:t>
            </w:r>
            <w:r>
              <w:rPr>
                <w:rFonts w:ascii="Arial" w:hAnsi="Arial" w:eastAsia="Arial" w:cs="Arial"/>
                <w:sz w:val="22"/>
                <w:szCs w:val="22"/>
                <w:bdr w:val="nil"/>
                <w:lang w:val="de-DE"/>
              </w:rPr>
              <w:t xml:space="preserve">unterschiedlichster Beziehungen zu verschiedenen </w:t>
            </w:r>
            <w:r w:rsidR="00B210C0">
              <w:rPr>
                <w:rFonts w:ascii="Arial" w:hAnsi="Arial" w:eastAsia="Arial" w:cs="Arial"/>
                <w:sz w:val="22"/>
                <w:szCs w:val="22"/>
                <w:bdr w:val="nil"/>
                <w:lang w:val="de-DE"/>
              </w:rPr>
              <w:t>Stakeholder</w:t>
            </w:r>
            <w:r w:rsidR="00834FF8">
              <w:rPr>
                <w:rFonts w:ascii="Arial" w:hAnsi="Arial" w:eastAsia="Arial" w:cs="Arial"/>
                <w:sz w:val="22"/>
                <w:szCs w:val="22"/>
                <w:bdr w:val="nil"/>
                <w:lang w:val="de-DE"/>
              </w:rPr>
              <w:t xml:space="preserve">n </w:t>
            </w:r>
            <w:r>
              <w:rPr>
                <w:rFonts w:ascii="Arial" w:hAnsi="Arial" w:eastAsia="Arial" w:cs="Arial"/>
                <w:sz w:val="22"/>
                <w:szCs w:val="22"/>
                <w:bdr w:val="nil"/>
                <w:lang w:val="de-DE"/>
              </w:rPr>
              <w:t xml:space="preserve">pflegen. </w:t>
            </w:r>
          </w:p>
          <w:p w:rsidRPr="006C29B1" w:rsidR="00DD016F" w:rsidP="00D41099" w:rsidRDefault="0078680C" w14:paraId="3D714C6C" w14:textId="1491FFE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Zur Gewährleistung einer effizienten Führung müssen die Zuständigkeiten der Personen, die Führungspositionen bekleiden, klar definiert werden. Es sollte zumindest eine Führungskraft in Voll- oder Teilzeit arbeiten, die sich auf die Leitung </w:t>
            </w:r>
            <w:r w:rsidR="00F03176">
              <w:rPr>
                <w:rFonts w:ascii="Arial" w:hAnsi="Arial" w:eastAsia="Arial" w:cs="Arial"/>
                <w:sz w:val="22"/>
                <w:szCs w:val="22"/>
                <w:bdr w:val="nil"/>
                <w:lang w:val="de-DE"/>
              </w:rPr>
              <w:t xml:space="preserve">und Verwaltung </w:t>
            </w:r>
            <w:r>
              <w:rPr>
                <w:rFonts w:ascii="Arial" w:hAnsi="Arial" w:eastAsia="Arial" w:cs="Arial"/>
                <w:sz w:val="22"/>
                <w:szCs w:val="22"/>
                <w:bdr w:val="nil"/>
                <w:lang w:val="de-DE"/>
              </w:rPr>
              <w:t xml:space="preserve">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konzentriert und die eine </w:t>
            </w:r>
            <w:r w:rsidR="00834FF8">
              <w:rPr>
                <w:rFonts w:ascii="Arial" w:hAnsi="Arial" w:eastAsia="Arial" w:cs="Arial"/>
                <w:sz w:val="22"/>
                <w:szCs w:val="22"/>
                <w:bdr w:val="nil"/>
                <w:lang w:val="de-DE"/>
              </w:rPr>
              <w:t>wettbewerbsgerechte</w:t>
            </w:r>
            <w:r>
              <w:rPr>
                <w:rFonts w:ascii="Arial" w:hAnsi="Arial" w:eastAsia="Arial" w:cs="Arial"/>
                <w:sz w:val="22"/>
                <w:szCs w:val="22"/>
                <w:bdr w:val="nil"/>
                <w:lang w:val="de-DE"/>
              </w:rPr>
              <w:t xml:space="preserve"> Vergütung erhält. Die Dauer des Mandats sollte ihnen ausreichend Zeit lassen, </w:t>
            </w:r>
            <w:r w:rsidR="00834FF8">
              <w:rPr>
                <w:rFonts w:ascii="Arial" w:hAnsi="Arial" w:eastAsia="Arial" w:cs="Arial"/>
                <w:sz w:val="22"/>
                <w:szCs w:val="22"/>
                <w:bdr w:val="nil"/>
                <w:lang w:val="de-DE"/>
              </w:rPr>
              <w:t>Wirkung zu entfalten</w:t>
            </w:r>
            <w:r>
              <w:rPr>
                <w:rFonts w:ascii="Arial" w:hAnsi="Arial" w:eastAsia="Arial" w:cs="Arial"/>
                <w:sz w:val="22"/>
                <w:szCs w:val="22"/>
                <w:bdr w:val="nil"/>
                <w:lang w:val="de-DE"/>
              </w:rPr>
              <w:t xml:space="preserve"> und ihre Unabhängigkeit </w:t>
            </w:r>
            <w:r w:rsidR="00834FF8">
              <w:rPr>
                <w:rFonts w:ascii="Arial" w:hAnsi="Arial" w:eastAsia="Arial" w:cs="Arial"/>
                <w:sz w:val="22"/>
                <w:szCs w:val="22"/>
                <w:bdr w:val="nil"/>
                <w:lang w:val="de-DE"/>
              </w:rPr>
              <w:t>absichern</w:t>
            </w:r>
            <w:r>
              <w:rPr>
                <w:rFonts w:ascii="Arial" w:hAnsi="Arial" w:eastAsia="Arial" w:cs="Arial"/>
                <w:sz w:val="22"/>
                <w:szCs w:val="22"/>
                <w:bdr w:val="nil"/>
                <w:lang w:val="de-DE"/>
              </w:rPr>
              <w:t xml:space="preserve">. </w:t>
            </w:r>
            <w:r w:rsidR="00834FF8">
              <w:rPr>
                <w:rFonts w:ascii="Arial" w:hAnsi="Arial" w:eastAsia="Arial" w:cs="Arial"/>
                <w:sz w:val="22"/>
                <w:szCs w:val="22"/>
                <w:bdr w:val="nil"/>
                <w:lang w:val="de-DE"/>
              </w:rPr>
              <w:t>Sie</w:t>
            </w:r>
            <w:r>
              <w:rPr>
                <w:rFonts w:ascii="Arial" w:hAnsi="Arial" w:eastAsia="Arial" w:cs="Arial"/>
                <w:sz w:val="22"/>
                <w:szCs w:val="22"/>
                <w:bdr w:val="nil"/>
                <w:lang w:val="de-DE"/>
              </w:rPr>
              <w:t xml:space="preserve"> könnte z. B. zwischen vier und fünf Jahren </w:t>
            </w:r>
            <w:r w:rsidR="00834FF8">
              <w:rPr>
                <w:rFonts w:ascii="Arial" w:hAnsi="Arial" w:eastAsia="Arial" w:cs="Arial"/>
                <w:sz w:val="22"/>
                <w:szCs w:val="22"/>
                <w:bdr w:val="nil"/>
                <w:lang w:val="de-DE"/>
              </w:rPr>
              <w:t xml:space="preserve">mit Verlängerungsmöglichkeit </w:t>
            </w:r>
            <w:r>
              <w:rPr>
                <w:rFonts w:ascii="Arial" w:hAnsi="Arial" w:eastAsia="Arial" w:cs="Arial"/>
                <w:sz w:val="22"/>
                <w:szCs w:val="22"/>
                <w:bdr w:val="nil"/>
                <w:lang w:val="de-DE"/>
              </w:rPr>
              <w:t>liegen, oder einen längeren Zeitraum ohne Verlängerung</w:t>
            </w:r>
            <w:r w:rsidR="00834FF8">
              <w:rPr>
                <w:rFonts w:ascii="Arial" w:hAnsi="Arial" w:eastAsia="Arial" w:cs="Arial"/>
                <w:sz w:val="22"/>
                <w:szCs w:val="22"/>
                <w:bdr w:val="nil"/>
                <w:lang w:val="de-DE"/>
              </w:rPr>
              <w:t>smöglichkeit</w:t>
            </w:r>
            <w:r>
              <w:rPr>
                <w:rFonts w:ascii="Arial" w:hAnsi="Arial" w:eastAsia="Arial" w:cs="Arial"/>
                <w:sz w:val="22"/>
                <w:szCs w:val="22"/>
                <w:bdr w:val="nil"/>
                <w:lang w:val="de-DE"/>
              </w:rPr>
              <w:t xml:space="preserve"> </w:t>
            </w:r>
            <w:r w:rsidR="00834FF8">
              <w:rPr>
                <w:rFonts w:ascii="Arial" w:hAnsi="Arial" w:eastAsia="Arial" w:cs="Arial"/>
                <w:sz w:val="22"/>
                <w:szCs w:val="22"/>
                <w:bdr w:val="nil"/>
                <w:lang w:val="de-DE"/>
              </w:rPr>
              <w:t>umfassen</w:t>
            </w:r>
            <w:r>
              <w:rPr>
                <w:rFonts w:ascii="Arial" w:hAnsi="Arial" w:eastAsia="Arial" w:cs="Arial"/>
                <w:sz w:val="22"/>
                <w:szCs w:val="22"/>
                <w:bdr w:val="nil"/>
                <w:lang w:val="de-DE"/>
              </w:rPr>
              <w:t xml:space="preserve">. </w:t>
            </w:r>
          </w:p>
        </w:tc>
      </w:tr>
      <w:tr w:rsidRPr="00046FAE" w:rsidR="00D8651C" w:rsidTr="00C0685F" w14:paraId="62026882" w14:textId="77777777">
        <w:tc>
          <w:tcPr>
            <w:tcW w:w="10112" w:type="dxa"/>
            <w:gridSpan w:val="2"/>
          </w:tcPr>
          <w:p w:rsidRPr="006353CB" w:rsidR="00DD016F" w:rsidP="005B4190" w:rsidRDefault="00D4725B" w14:paraId="5AC35E6B" w14:textId="2CE514F9">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_Ref483821696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27</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_Ref483821711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29</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D41099" w:rsidRDefault="0078680C" w14:paraId="140A1633" w14:textId="7519025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Eine weitere wichtige Absicherung der Unabhängigkeit von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ist das Recht, unabhängig über die interne Struktur, die Verwaltung des Haushalts und der finanziellen und personellen Ressourcen und die Einstellung von Mitarbeitern zu entscheiden und ihre eigenen, separaten Räumlichkeiten auszusuchen und zu beziehen. Diese Räumlichkeiten sollten in Größe und Zweck dem Bedarf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entsprechen. D</w:t>
            </w:r>
            <w:r w:rsidR="00834FF8">
              <w:rPr>
                <w:rFonts w:ascii="Arial" w:hAnsi="Arial" w:eastAsia="Arial" w:cs="Arial"/>
                <w:sz w:val="22"/>
                <w:szCs w:val="22"/>
                <w:bdr w:val="nil"/>
                <w:lang w:val="de-DE"/>
              </w:rPr>
              <w:t>ie Abordnung</w:t>
            </w:r>
            <w:r>
              <w:rPr>
                <w:rFonts w:ascii="Arial" w:hAnsi="Arial" w:eastAsia="Arial" w:cs="Arial"/>
                <w:sz w:val="22"/>
                <w:szCs w:val="22"/>
                <w:bdr w:val="nil"/>
                <w:lang w:val="de-DE"/>
              </w:rPr>
              <w:t xml:space="preserve"> von Mitarbeitern aus Institutionen des öffentlichen Sektors sollte begrenzt sein, da dies die Unabhängigkeit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beeinträchtigen und die Wahrnehmung ihrer Unabhängigkeit unterminieren könnte.</w:t>
            </w:r>
          </w:p>
        </w:tc>
      </w:tr>
      <w:tr w:rsidRPr="00046FAE" w:rsidR="00D8651C" w:rsidTr="00C0685F" w14:paraId="30DE13B4" w14:textId="77777777">
        <w:tc>
          <w:tcPr>
            <w:tcW w:w="10112" w:type="dxa"/>
            <w:gridSpan w:val="2"/>
          </w:tcPr>
          <w:p w:rsidRPr="00C0685F" w:rsidR="00DD016F" w:rsidP="00D41099" w:rsidRDefault="00952CCE" w14:paraId="11703618" w14:textId="70238C6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Eine angemessene Finanz- und Personalausstattung</w:t>
            </w:r>
            <w:r w:rsidR="0078680C">
              <w:rPr>
                <w:rFonts w:ascii="Arial" w:hAnsi="Arial" w:eastAsia="Arial" w:cs="Arial"/>
                <w:sz w:val="22"/>
                <w:szCs w:val="22"/>
                <w:bdr w:val="nil"/>
                <w:lang w:val="de-DE"/>
              </w:rPr>
              <w:t xml:space="preserve"> sind Schlüsselfaktoren für die </w:t>
            </w:r>
            <w:r>
              <w:rPr>
                <w:rFonts w:ascii="Arial" w:hAnsi="Arial" w:eastAsia="Arial" w:cs="Arial"/>
                <w:sz w:val="22"/>
                <w:szCs w:val="22"/>
                <w:bdr w:val="nil"/>
                <w:lang w:val="de-DE"/>
              </w:rPr>
              <w:t>Wirksamkeit</w:t>
            </w:r>
            <w:r w:rsidR="0078680C">
              <w:rPr>
                <w:rFonts w:ascii="Arial" w:hAnsi="Arial" w:eastAsia="Arial" w:cs="Arial"/>
                <w:sz w:val="22"/>
                <w:szCs w:val="22"/>
                <w:bdr w:val="nil"/>
                <w:lang w:val="de-DE"/>
              </w:rPr>
              <w:t xml:space="preserve"> von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und sollten auf Grundlage objektiver Indikatoren ermittelt werden. Diese Faktoren könnten Folgendes einschließen: (i)</w:t>
            </w:r>
            <w:r w:rsidR="00834FF8">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die Größe des Mitgliedstaates und seiner Bevölkerung, (ii) die Anzahl und die Natur der gemeldeten und nicht gemeldeten Fälle von Diskriminierung und Intoleranz, einschließlich Hassrede, (iii) </w:t>
            </w:r>
            <w:r w:rsidR="004C01E4">
              <w:rPr>
                <w:rFonts w:ascii="Arial" w:hAnsi="Arial" w:eastAsia="Arial" w:cs="Arial"/>
                <w:sz w:val="22"/>
                <w:szCs w:val="22"/>
                <w:bdr w:val="nil"/>
                <w:lang w:val="de-DE"/>
              </w:rPr>
              <w:t>d</w:t>
            </w:r>
            <w:r w:rsidR="00F03176">
              <w:rPr>
                <w:rFonts w:ascii="Arial" w:hAnsi="Arial" w:eastAsia="Arial" w:cs="Arial"/>
                <w:sz w:val="22"/>
                <w:szCs w:val="22"/>
                <w:bdr w:val="nil"/>
                <w:lang w:val="de-DE"/>
              </w:rPr>
              <w:t>as</w:t>
            </w:r>
            <w:r w:rsidR="004C01E4">
              <w:rPr>
                <w:rFonts w:ascii="Arial" w:hAnsi="Arial" w:eastAsia="Arial" w:cs="Arial"/>
                <w:sz w:val="22"/>
                <w:szCs w:val="22"/>
                <w:bdr w:val="nil"/>
                <w:lang w:val="de-DE"/>
              </w:rPr>
              <w:t xml:space="preserve"> Spektrum</w:t>
            </w:r>
            <w:r w:rsidR="0078680C">
              <w:rPr>
                <w:rFonts w:ascii="Arial" w:hAnsi="Arial" w:eastAsia="Arial" w:cs="Arial"/>
                <w:sz w:val="22"/>
                <w:szCs w:val="22"/>
                <w:bdr w:val="nil"/>
                <w:lang w:val="de-DE"/>
              </w:rPr>
              <w:t xml:space="preserve">, </w:t>
            </w:r>
            <w:r w:rsidR="004C01E4">
              <w:rPr>
                <w:rFonts w:ascii="Arial" w:hAnsi="Arial" w:eastAsia="Arial" w:cs="Arial"/>
                <w:sz w:val="22"/>
                <w:szCs w:val="22"/>
                <w:bdr w:val="nil"/>
                <w:lang w:val="de-DE"/>
              </w:rPr>
              <w:t xml:space="preserve">die </w:t>
            </w:r>
            <w:r w:rsidR="0078680C">
              <w:rPr>
                <w:rFonts w:ascii="Arial" w:hAnsi="Arial" w:eastAsia="Arial" w:cs="Arial"/>
                <w:sz w:val="22"/>
                <w:szCs w:val="22"/>
                <w:bdr w:val="nil"/>
                <w:lang w:val="de-DE"/>
              </w:rPr>
              <w:t xml:space="preserve">Kapazität und der Beitrag anderer Stellen, die in den Bereichen Gleichheit, Diskriminierung und Intoleranz </w:t>
            </w:r>
            <w:r w:rsidR="004C01E4">
              <w:rPr>
                <w:rFonts w:ascii="Arial" w:hAnsi="Arial" w:eastAsia="Arial" w:cs="Arial"/>
                <w:sz w:val="22"/>
                <w:szCs w:val="22"/>
                <w:bdr w:val="nil"/>
                <w:lang w:val="de-DE"/>
              </w:rPr>
              <w:t>arbeiten</w:t>
            </w:r>
            <w:r w:rsidR="0078680C">
              <w:rPr>
                <w:rFonts w:ascii="Arial" w:hAnsi="Arial" w:eastAsia="Arial" w:cs="Arial"/>
                <w:sz w:val="22"/>
                <w:szCs w:val="22"/>
                <w:bdr w:val="nil"/>
                <w:lang w:val="de-DE"/>
              </w:rPr>
              <w:t xml:space="preserve">, (iv) die Kosten, die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4C01E4">
              <w:rPr>
                <w:rFonts w:ascii="Arial" w:hAnsi="Arial" w:eastAsia="Arial" w:cs="Arial"/>
                <w:sz w:val="22"/>
                <w:szCs w:val="22"/>
                <w:bdr w:val="nil"/>
                <w:lang w:val="de-DE"/>
              </w:rPr>
              <w:t>bei der</w:t>
            </w:r>
            <w:r w:rsidR="0078680C">
              <w:rPr>
                <w:rFonts w:ascii="Arial" w:hAnsi="Arial" w:eastAsia="Arial" w:cs="Arial"/>
                <w:sz w:val="22"/>
                <w:szCs w:val="22"/>
                <w:bdr w:val="nil"/>
                <w:lang w:val="de-DE"/>
              </w:rPr>
              <w:t xml:space="preserve"> </w:t>
            </w:r>
            <w:r w:rsidR="004C01E4">
              <w:rPr>
                <w:rFonts w:ascii="Arial" w:hAnsi="Arial" w:eastAsia="Arial" w:cs="Arial"/>
                <w:sz w:val="22"/>
                <w:szCs w:val="22"/>
                <w:bdr w:val="nil"/>
                <w:lang w:val="de-DE"/>
              </w:rPr>
              <w:t xml:space="preserve">Wahrnehmung </w:t>
            </w:r>
            <w:r w:rsidR="0078680C">
              <w:rPr>
                <w:rFonts w:ascii="Arial" w:hAnsi="Arial" w:eastAsia="Arial" w:cs="Arial"/>
                <w:sz w:val="22"/>
                <w:szCs w:val="22"/>
                <w:bdr w:val="nil"/>
                <w:lang w:val="de-DE"/>
              </w:rPr>
              <w:t xml:space="preserve">ihrer </w:t>
            </w:r>
            <w:r w:rsidR="00C90BFE">
              <w:rPr>
                <w:rFonts w:ascii="Arial" w:hAnsi="Arial" w:eastAsia="Arial" w:cs="Arial"/>
                <w:sz w:val="22"/>
                <w:szCs w:val="22"/>
                <w:bdr w:val="nil"/>
                <w:lang w:val="de-DE"/>
              </w:rPr>
              <w:t>Funktione</w:t>
            </w:r>
            <w:r w:rsidR="0078680C">
              <w:rPr>
                <w:rFonts w:ascii="Arial" w:hAnsi="Arial" w:eastAsia="Arial" w:cs="Arial"/>
                <w:sz w:val="22"/>
                <w:szCs w:val="22"/>
                <w:bdr w:val="nil"/>
                <w:lang w:val="de-DE"/>
              </w:rPr>
              <w:t xml:space="preserve">n und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en in einem Umfang und einer Qualität entstehen, die </w:t>
            </w:r>
            <w:r w:rsidR="004C01E4">
              <w:rPr>
                <w:rFonts w:ascii="Arial" w:hAnsi="Arial" w:eastAsia="Arial" w:cs="Arial"/>
                <w:sz w:val="22"/>
                <w:szCs w:val="22"/>
                <w:bdr w:val="nil"/>
                <w:lang w:val="de-DE"/>
              </w:rPr>
              <w:t>notwendig sind, um Wirkung zu erzielen</w:t>
            </w:r>
            <w:r w:rsidR="0078680C">
              <w:rPr>
                <w:rFonts w:ascii="Arial" w:hAnsi="Arial" w:eastAsia="Arial" w:cs="Arial"/>
                <w:sz w:val="22"/>
                <w:szCs w:val="22"/>
                <w:bdr w:val="nil"/>
                <w:lang w:val="de-DE"/>
              </w:rPr>
              <w:t xml:space="preserve">, und (v) der Umfang des Staatshaushaltes des Mitgliedstaates. Peer-to-Peer-Reviews mit anderen Mitgliedstaaten können bei der Ermittlung der erforderlichen Ressourcen für die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hilfreich sein. </w:t>
            </w:r>
          </w:p>
          <w:p w:rsidRPr="00C0685F" w:rsidR="00DD016F" w:rsidP="00D41099" w:rsidRDefault="00F03176" w14:paraId="18D7FBA8" w14:textId="47A13ED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Bezüglich der Verwendung der Haushaltsmittel </w:t>
            </w:r>
            <w:r w:rsidR="0078680C">
              <w:rPr>
                <w:rFonts w:ascii="Arial" w:hAnsi="Arial" w:eastAsia="Arial" w:cs="Arial"/>
                <w:sz w:val="22"/>
                <w:szCs w:val="22"/>
                <w:bdr w:val="nil"/>
                <w:lang w:val="de-DE"/>
              </w:rPr>
              <w:t xml:space="preserve">sollte </w:t>
            </w:r>
            <w:r>
              <w:rPr>
                <w:rFonts w:ascii="Arial" w:hAnsi="Arial" w:eastAsia="Arial" w:cs="Arial"/>
                <w:sz w:val="22"/>
                <w:szCs w:val="22"/>
                <w:bdr w:val="nil"/>
                <w:lang w:val="de-DE"/>
              </w:rPr>
              <w:t xml:space="preserve">Transparenz </w:t>
            </w:r>
            <w:r w:rsidR="0078680C">
              <w:rPr>
                <w:rFonts w:ascii="Arial" w:hAnsi="Arial" w:eastAsia="Arial" w:cs="Arial"/>
                <w:sz w:val="22"/>
                <w:szCs w:val="22"/>
                <w:bdr w:val="nil"/>
                <w:lang w:val="de-DE"/>
              </w:rPr>
              <w:t xml:space="preserve">gewährleistet </w:t>
            </w:r>
            <w:r>
              <w:rPr>
                <w:rFonts w:ascii="Arial" w:hAnsi="Arial" w:eastAsia="Arial" w:cs="Arial"/>
                <w:sz w:val="22"/>
                <w:szCs w:val="22"/>
                <w:bdr w:val="nil"/>
                <w:lang w:val="de-DE"/>
              </w:rPr>
              <w:t>sein</w:t>
            </w:r>
            <w:r w:rsidR="0078680C">
              <w:rPr>
                <w:rFonts w:ascii="Arial" w:hAnsi="Arial" w:eastAsia="Arial" w:cs="Arial"/>
                <w:sz w:val="22"/>
                <w:szCs w:val="22"/>
                <w:bdr w:val="nil"/>
                <w:lang w:val="de-DE"/>
              </w:rPr>
              <w:t xml:space="preserve">, entweder durch </w:t>
            </w:r>
            <w:r w:rsidR="004C01E4">
              <w:rPr>
                <w:rFonts w:ascii="Arial" w:hAnsi="Arial" w:eastAsia="Arial" w:cs="Arial"/>
                <w:sz w:val="22"/>
                <w:szCs w:val="22"/>
                <w:bdr w:val="nil"/>
                <w:lang w:val="de-DE"/>
              </w:rPr>
              <w:t xml:space="preserve">den </w:t>
            </w:r>
            <w:r w:rsidR="0078680C">
              <w:rPr>
                <w:rFonts w:ascii="Arial" w:hAnsi="Arial" w:eastAsia="Arial" w:cs="Arial"/>
                <w:sz w:val="22"/>
                <w:szCs w:val="22"/>
                <w:bdr w:val="nil"/>
                <w:lang w:val="de-DE"/>
              </w:rPr>
              <w:t xml:space="preserve">Jahresbericht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oder durch eine andere angemessene Methode.</w:t>
            </w:r>
          </w:p>
        </w:tc>
      </w:tr>
      <w:tr w:rsidRPr="00046FAE" w:rsidR="00D8651C" w:rsidTr="00C0685F" w14:paraId="6106DDD2" w14:textId="77777777">
        <w:tc>
          <w:tcPr>
            <w:tcW w:w="10112" w:type="dxa"/>
            <w:gridSpan w:val="2"/>
          </w:tcPr>
          <w:p w:rsidRPr="00C0685F" w:rsidR="00DD016F" w:rsidP="00D41099" w:rsidRDefault="0078680C" w14:paraId="52A6B8A8" w14:textId="2044C3B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Das Recht, zusätzliche Mittel aus anderen Quellen als dem Staat zu be</w:t>
            </w:r>
            <w:r w:rsidR="004C01E4">
              <w:rPr>
                <w:rFonts w:ascii="Arial" w:hAnsi="Arial" w:eastAsia="Arial" w:cs="Arial"/>
                <w:sz w:val="22"/>
                <w:szCs w:val="22"/>
                <w:bdr w:val="nil"/>
                <w:lang w:val="de-DE"/>
              </w:rPr>
              <w:t>schaffen</w:t>
            </w:r>
            <w:r>
              <w:rPr>
                <w:rFonts w:ascii="Arial" w:hAnsi="Arial" w:eastAsia="Arial" w:cs="Arial"/>
                <w:sz w:val="22"/>
                <w:szCs w:val="22"/>
                <w:bdr w:val="nil"/>
                <w:lang w:val="de-DE"/>
              </w:rPr>
              <w:t>, z. B.</w:t>
            </w:r>
            <w:r w:rsidR="002C25E4">
              <w:rPr>
                <w:rFonts w:ascii="Arial" w:hAnsi="Arial" w:eastAsia="Arial" w:cs="Arial"/>
                <w:sz w:val="22"/>
                <w:szCs w:val="22"/>
                <w:bdr w:val="nil"/>
                <w:lang w:val="de-DE"/>
              </w:rPr>
              <w:t xml:space="preserve"> von der</w:t>
            </w:r>
            <w:r>
              <w:rPr>
                <w:rFonts w:ascii="Arial" w:hAnsi="Arial" w:eastAsia="Arial" w:cs="Arial"/>
                <w:sz w:val="22"/>
                <w:szCs w:val="22"/>
                <w:bdr w:val="nil"/>
                <w:lang w:val="de-DE"/>
              </w:rPr>
              <w:t xml:space="preserve"> EU, </w:t>
            </w:r>
            <w:r w:rsidR="002C25E4">
              <w:rPr>
                <w:rFonts w:ascii="Arial" w:hAnsi="Arial" w:eastAsia="Arial" w:cs="Arial"/>
                <w:sz w:val="22"/>
                <w:szCs w:val="22"/>
                <w:bdr w:val="nil"/>
                <w:lang w:val="de-DE"/>
              </w:rPr>
              <w:t xml:space="preserve">dem </w:t>
            </w:r>
            <w:r>
              <w:rPr>
                <w:rFonts w:ascii="Arial" w:hAnsi="Arial" w:eastAsia="Arial" w:cs="Arial"/>
                <w:sz w:val="22"/>
                <w:szCs w:val="22"/>
                <w:bdr w:val="nil"/>
                <w:lang w:val="de-DE"/>
              </w:rPr>
              <w:t>Europarat oder private</w:t>
            </w:r>
            <w:r w:rsidR="002C25E4">
              <w:rPr>
                <w:rFonts w:ascii="Arial" w:hAnsi="Arial" w:eastAsia="Arial" w:cs="Arial"/>
                <w:sz w:val="22"/>
                <w:szCs w:val="22"/>
                <w:bdr w:val="nil"/>
                <w:lang w:val="de-DE"/>
              </w:rPr>
              <w:t>n</w:t>
            </w:r>
            <w:r>
              <w:rPr>
                <w:rFonts w:ascii="Arial" w:hAnsi="Arial" w:eastAsia="Arial" w:cs="Arial"/>
                <w:sz w:val="22"/>
                <w:szCs w:val="22"/>
                <w:bdr w:val="nil"/>
                <w:lang w:val="de-DE"/>
              </w:rPr>
              <w:t xml:space="preserve"> philanthropische</w:t>
            </w:r>
            <w:r w:rsidR="002C25E4">
              <w:rPr>
                <w:rFonts w:ascii="Arial" w:hAnsi="Arial" w:eastAsia="Arial" w:cs="Arial"/>
                <w:sz w:val="22"/>
                <w:szCs w:val="22"/>
                <w:bdr w:val="nil"/>
                <w:lang w:val="de-DE"/>
              </w:rPr>
              <w:t>n</w:t>
            </w:r>
            <w:r>
              <w:rPr>
                <w:rFonts w:ascii="Arial" w:hAnsi="Arial" w:eastAsia="Arial" w:cs="Arial"/>
                <w:sz w:val="22"/>
                <w:szCs w:val="22"/>
                <w:bdr w:val="nil"/>
                <w:lang w:val="de-DE"/>
              </w:rPr>
              <w:t xml:space="preserve"> Organisationen, kann</w:t>
            </w:r>
            <w:r w:rsidR="004C01E4">
              <w:rPr>
                <w:rFonts w:ascii="Arial" w:hAnsi="Arial" w:eastAsia="Arial" w:cs="Arial"/>
                <w:sz w:val="22"/>
                <w:szCs w:val="22"/>
                <w:bdr w:val="nil"/>
                <w:lang w:val="de-DE"/>
              </w:rPr>
              <w:t xml:space="preserve"> dazu beitragen, die Wirkung </w:t>
            </w:r>
            <w:r>
              <w:rPr>
                <w:rFonts w:ascii="Arial" w:hAnsi="Arial" w:eastAsia="Arial" w:cs="Arial"/>
                <w:sz w:val="22"/>
                <w:szCs w:val="22"/>
                <w:bdr w:val="nil"/>
                <w:lang w:val="de-DE"/>
              </w:rPr>
              <w:t xml:space="preserve">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4C01E4">
              <w:rPr>
                <w:rFonts w:ascii="Arial" w:hAnsi="Arial" w:eastAsia="Arial" w:cs="Arial"/>
                <w:sz w:val="22"/>
                <w:szCs w:val="22"/>
                <w:bdr w:val="nil"/>
                <w:lang w:val="de-DE"/>
              </w:rPr>
              <w:t>zu erhöhen</w:t>
            </w:r>
            <w:r>
              <w:rPr>
                <w:rFonts w:ascii="Arial" w:hAnsi="Arial" w:eastAsia="Arial" w:cs="Arial"/>
                <w:sz w:val="22"/>
                <w:szCs w:val="22"/>
                <w:bdr w:val="nil"/>
                <w:lang w:val="de-DE"/>
              </w:rPr>
              <w:t>, solange dies ihre Unabhängigkeit nicht beeinträchtig</w:t>
            </w:r>
            <w:r w:rsidR="004C01E4">
              <w:rPr>
                <w:rFonts w:ascii="Arial" w:hAnsi="Arial" w:eastAsia="Arial" w:cs="Arial"/>
                <w:sz w:val="22"/>
                <w:szCs w:val="22"/>
                <w:bdr w:val="nil"/>
                <w:lang w:val="de-DE"/>
              </w:rPr>
              <w:t>t</w:t>
            </w:r>
            <w:r>
              <w:rPr>
                <w:rFonts w:ascii="Arial" w:hAnsi="Arial" w:eastAsia="Arial" w:cs="Arial"/>
                <w:sz w:val="22"/>
                <w:szCs w:val="22"/>
                <w:bdr w:val="nil"/>
                <w:lang w:val="de-DE"/>
              </w:rPr>
              <w:t xml:space="preserve">. </w:t>
            </w:r>
          </w:p>
        </w:tc>
      </w:tr>
      <w:tr w:rsidRPr="00C0685F" w:rsidR="00D8651C" w:rsidTr="00C0685F" w14:paraId="110E6B1F" w14:textId="77777777">
        <w:tc>
          <w:tcPr>
            <w:tcW w:w="10112" w:type="dxa"/>
            <w:gridSpan w:val="2"/>
          </w:tcPr>
          <w:p w:rsidRPr="006353CB" w:rsidR="00DD016F" w:rsidP="005B4190" w:rsidRDefault="00786C47" w14:paraId="5F78A47E" w14:textId="3950D53D">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_Ref483821721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30</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78680C" w14:paraId="324B627F" w14:textId="5E593729">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Das Recht, ohne vorherige Genehmigung oder Mitteilung öffentliche Erklärungen abzugeben und Dokumente zu verfassen und zu veröffentlichen, einschließlich Jahresberichten, </w:t>
            </w:r>
            <w:r w:rsidR="004C01E4">
              <w:rPr>
                <w:rFonts w:ascii="Arial" w:hAnsi="Arial" w:eastAsia="Arial" w:cs="Arial"/>
                <w:sz w:val="22"/>
                <w:szCs w:val="22"/>
                <w:bdr w:val="nil"/>
                <w:lang w:val="de-DE"/>
              </w:rPr>
              <w:t xml:space="preserve">thematischen, </w:t>
            </w:r>
            <w:r>
              <w:rPr>
                <w:rFonts w:ascii="Arial" w:hAnsi="Arial" w:eastAsia="Arial" w:cs="Arial"/>
                <w:sz w:val="22"/>
                <w:szCs w:val="22"/>
                <w:bdr w:val="nil"/>
                <w:lang w:val="de-DE"/>
              </w:rPr>
              <w:t xml:space="preserve">Sonder- und Untersuchungsberichten, ist ein </w:t>
            </w:r>
            <w:r>
              <w:rPr>
                <w:rFonts w:ascii="Arial" w:hAnsi="Arial" w:eastAsia="Arial" w:cs="Arial"/>
                <w:sz w:val="22"/>
                <w:szCs w:val="22"/>
                <w:bdr w:val="nil"/>
                <w:lang w:val="de-DE"/>
              </w:rPr>
              <w:lastRenderedPageBreak/>
              <w:t xml:space="preserve">wichtiges Element der Unabhängigkeit. Die Berichte sollten </w:t>
            </w:r>
            <w:r w:rsidR="004C01E4">
              <w:rPr>
                <w:rFonts w:ascii="Arial" w:hAnsi="Arial" w:eastAsia="Arial" w:cs="Arial"/>
                <w:sz w:val="22"/>
                <w:szCs w:val="22"/>
                <w:bdr w:val="nil"/>
                <w:lang w:val="de-DE"/>
              </w:rPr>
              <w:t>nicht der</w:t>
            </w:r>
            <w:r>
              <w:rPr>
                <w:rFonts w:ascii="Arial" w:hAnsi="Arial" w:eastAsia="Arial" w:cs="Arial"/>
                <w:sz w:val="22"/>
                <w:szCs w:val="22"/>
                <w:bdr w:val="nil"/>
                <w:lang w:val="de-DE"/>
              </w:rPr>
              <w:t xml:space="preserve"> Genehmigung seitens des Parlaments oder der Regierung </w:t>
            </w:r>
            <w:r w:rsidR="004C01E4">
              <w:rPr>
                <w:rFonts w:ascii="Arial" w:hAnsi="Arial" w:eastAsia="Arial" w:cs="Arial"/>
                <w:sz w:val="22"/>
                <w:szCs w:val="22"/>
                <w:bdr w:val="nil"/>
                <w:lang w:val="de-DE"/>
              </w:rPr>
              <w:t>bedürfen</w:t>
            </w:r>
            <w:r>
              <w:rPr>
                <w:rFonts w:ascii="Arial" w:hAnsi="Arial" w:eastAsia="Arial" w:cs="Arial"/>
                <w:sz w:val="22"/>
                <w:szCs w:val="22"/>
                <w:bdr w:val="nil"/>
                <w:lang w:val="de-DE"/>
              </w:rPr>
              <w:t>.</w:t>
            </w:r>
          </w:p>
        </w:tc>
      </w:tr>
      <w:tr w:rsidRPr="00C0685F" w:rsidR="00D8651C" w:rsidTr="00C0685F" w14:paraId="7D4C79DB" w14:textId="77777777">
        <w:tc>
          <w:tcPr>
            <w:tcW w:w="10112" w:type="dxa"/>
            <w:gridSpan w:val="2"/>
          </w:tcPr>
          <w:p w:rsidRPr="006353CB" w:rsidR="00DD016F" w:rsidP="005B4190" w:rsidRDefault="00786C47" w14:paraId="71303496" w14:textId="4FF78357">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lastRenderedPageBreak/>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_Ref483821731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31</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78680C" w14:paraId="615E64C3" w14:textId="42E3794E">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Zur Untermauerung ihrer Unabhängigkeit und Glaubwürdigkeit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ihre Tätigkeit </w:t>
            </w:r>
            <w:r w:rsidR="009C5318">
              <w:rPr>
                <w:rFonts w:ascii="Arial" w:hAnsi="Arial" w:eastAsia="Arial" w:cs="Arial"/>
                <w:sz w:val="22"/>
                <w:szCs w:val="22"/>
                <w:bdr w:val="nil"/>
                <w:lang w:val="de-DE"/>
              </w:rPr>
              <w:t>auf die</w:t>
            </w:r>
            <w:r>
              <w:rPr>
                <w:rFonts w:ascii="Arial" w:hAnsi="Arial" w:eastAsia="Arial" w:cs="Arial"/>
                <w:sz w:val="22"/>
                <w:szCs w:val="22"/>
                <w:bdr w:val="nil"/>
                <w:lang w:val="de-DE"/>
              </w:rPr>
              <w:t xml:space="preserve"> relevanten internationalen und nationalen Rechtsrahmen, Standards, Empfehlungen und Rechtsprechung </w:t>
            </w:r>
            <w:r w:rsidR="009C5318">
              <w:rPr>
                <w:rFonts w:ascii="Arial" w:hAnsi="Arial" w:eastAsia="Arial" w:cs="Arial"/>
                <w:sz w:val="22"/>
                <w:szCs w:val="22"/>
                <w:bdr w:val="nil"/>
                <w:lang w:val="de-DE"/>
              </w:rPr>
              <w:t>gründen</w:t>
            </w:r>
            <w:r>
              <w:rPr>
                <w:rFonts w:ascii="Arial" w:hAnsi="Arial" w:eastAsia="Arial" w:cs="Arial"/>
                <w:sz w:val="22"/>
                <w:szCs w:val="22"/>
                <w:bdr w:val="nil"/>
                <w:lang w:val="de-DE"/>
              </w:rPr>
              <w:t xml:space="preserve">. Ihre </w:t>
            </w:r>
            <w:r w:rsidR="00F03176">
              <w:rPr>
                <w:rFonts w:ascii="Arial" w:hAnsi="Arial" w:eastAsia="Arial" w:cs="Arial"/>
                <w:sz w:val="22"/>
                <w:szCs w:val="22"/>
                <w:bdr w:val="nil"/>
                <w:lang w:val="de-DE"/>
              </w:rPr>
              <w:t xml:space="preserve">Arbeit </w:t>
            </w:r>
            <w:r>
              <w:rPr>
                <w:rFonts w:ascii="Arial" w:hAnsi="Arial" w:eastAsia="Arial" w:cs="Arial"/>
                <w:sz w:val="22"/>
                <w:szCs w:val="22"/>
                <w:bdr w:val="nil"/>
                <w:lang w:val="de-DE"/>
              </w:rPr>
              <w:t xml:space="preserve">sollte evidenzbasiert sein und die </w:t>
            </w:r>
            <w:r w:rsidR="009C5318">
              <w:rPr>
                <w:rFonts w:ascii="Arial" w:hAnsi="Arial" w:eastAsia="Arial" w:cs="Arial"/>
                <w:sz w:val="22"/>
                <w:szCs w:val="22"/>
                <w:bdr w:val="nil"/>
                <w:lang w:val="de-DE"/>
              </w:rPr>
              <w:t xml:space="preserve">Standpunkte </w:t>
            </w:r>
            <w:r>
              <w:rPr>
                <w:rFonts w:ascii="Arial" w:hAnsi="Arial" w:eastAsia="Arial" w:cs="Arial"/>
                <w:sz w:val="22"/>
                <w:szCs w:val="22"/>
                <w:bdr w:val="nil"/>
                <w:lang w:val="de-DE"/>
              </w:rPr>
              <w:t xml:space="preserve">der relevanten Institutionen und </w:t>
            </w:r>
            <w:r w:rsidR="009C5318">
              <w:rPr>
                <w:rFonts w:ascii="Arial" w:hAnsi="Arial" w:eastAsia="Arial" w:cs="Arial"/>
                <w:sz w:val="22"/>
                <w:szCs w:val="22"/>
                <w:bdr w:val="nil"/>
                <w:lang w:val="de-DE"/>
              </w:rPr>
              <w:t>Personen</w:t>
            </w:r>
            <w:r>
              <w:rPr>
                <w:rFonts w:ascii="Arial" w:hAnsi="Arial" w:eastAsia="Arial" w:cs="Arial"/>
                <w:sz w:val="22"/>
                <w:szCs w:val="22"/>
                <w:bdr w:val="nil"/>
                <w:lang w:val="de-DE"/>
              </w:rPr>
              <w:t xml:space="preserve"> berücksichtigen und prüfen. </w:t>
            </w:r>
          </w:p>
        </w:tc>
      </w:tr>
      <w:tr w:rsidRPr="00C0685F" w:rsidR="00D8651C" w:rsidTr="00C0685F" w14:paraId="0EA320BA" w14:textId="77777777">
        <w:tc>
          <w:tcPr>
            <w:tcW w:w="10112" w:type="dxa"/>
            <w:gridSpan w:val="2"/>
          </w:tcPr>
          <w:p w:rsidRPr="006353CB" w:rsidR="00DD016F" w:rsidP="005B4190" w:rsidRDefault="00786C47" w14:paraId="79EBD1C6" w14:textId="10AE11C6">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_Ref483821742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32</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F03176" w14:paraId="66DB85A6" w14:textId="0E9ABB80">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M</w:t>
            </w:r>
            <w:r w:rsidR="0078680C">
              <w:rPr>
                <w:rFonts w:ascii="Arial" w:hAnsi="Arial" w:eastAsia="Arial" w:cs="Arial"/>
                <w:sz w:val="22"/>
                <w:szCs w:val="22"/>
                <w:bdr w:val="nil"/>
                <w:lang w:val="de-DE"/>
              </w:rPr>
              <w:t xml:space="preserve">it der Unabhängigkeit </w:t>
            </w:r>
            <w:r w:rsidR="009C5318">
              <w:rPr>
                <w:rFonts w:ascii="Arial" w:hAnsi="Arial" w:eastAsia="Arial" w:cs="Arial"/>
                <w:sz w:val="22"/>
                <w:szCs w:val="22"/>
                <w:bdr w:val="nil"/>
                <w:lang w:val="de-DE"/>
              </w:rPr>
              <w:t xml:space="preserve">von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w:t>
            </w:r>
            <w:r>
              <w:rPr>
                <w:rFonts w:ascii="Arial" w:hAnsi="Arial" w:eastAsia="Arial" w:cs="Arial"/>
                <w:sz w:val="22"/>
                <w:szCs w:val="22"/>
                <w:bdr w:val="nil"/>
                <w:lang w:val="de-DE"/>
              </w:rPr>
              <w:t xml:space="preserve">ist es </w:t>
            </w:r>
            <w:r w:rsidR="0078680C">
              <w:rPr>
                <w:rFonts w:ascii="Arial" w:hAnsi="Arial" w:eastAsia="Arial" w:cs="Arial"/>
                <w:sz w:val="22"/>
                <w:szCs w:val="22"/>
                <w:bdr w:val="nil"/>
                <w:lang w:val="de-DE"/>
              </w:rPr>
              <w:t xml:space="preserve">vereinbar, </w:t>
            </w:r>
            <w:r w:rsidR="009C5318">
              <w:rPr>
                <w:rFonts w:ascii="Arial" w:hAnsi="Arial" w:eastAsia="Arial" w:cs="Arial"/>
                <w:sz w:val="22"/>
                <w:szCs w:val="22"/>
                <w:bdr w:val="nil"/>
                <w:lang w:val="de-DE"/>
              </w:rPr>
              <w:t>diese</w:t>
            </w:r>
            <w:r w:rsidR="0078680C">
              <w:rPr>
                <w:rFonts w:ascii="Arial" w:hAnsi="Arial" w:eastAsia="Arial" w:cs="Arial"/>
                <w:sz w:val="22"/>
                <w:szCs w:val="22"/>
                <w:bdr w:val="nil"/>
                <w:lang w:val="de-DE"/>
              </w:rPr>
              <w:t xml:space="preserve"> </w:t>
            </w:r>
            <w:r w:rsidR="009C5318">
              <w:rPr>
                <w:rFonts w:ascii="Arial" w:hAnsi="Arial" w:eastAsia="Arial" w:cs="Arial"/>
                <w:sz w:val="22"/>
                <w:szCs w:val="22"/>
                <w:bdr w:val="nil"/>
                <w:lang w:val="de-DE"/>
              </w:rPr>
              <w:t>dem Recht</w:t>
            </w:r>
            <w:r w:rsidR="0078680C">
              <w:rPr>
                <w:rFonts w:ascii="Arial" w:hAnsi="Arial" w:eastAsia="Arial" w:cs="Arial"/>
                <w:sz w:val="22"/>
                <w:szCs w:val="22"/>
                <w:bdr w:val="nil"/>
                <w:lang w:val="de-DE"/>
              </w:rPr>
              <w:t xml:space="preserve"> des öffentlichen Dienstes und den Vorschriften </w:t>
            </w:r>
            <w:r w:rsidR="009C5318">
              <w:rPr>
                <w:rFonts w:ascii="Arial" w:hAnsi="Arial" w:eastAsia="Arial" w:cs="Arial"/>
                <w:sz w:val="22"/>
                <w:szCs w:val="22"/>
                <w:bdr w:val="nil"/>
                <w:lang w:val="de-DE"/>
              </w:rPr>
              <w:t xml:space="preserve">zur </w:t>
            </w:r>
            <w:r w:rsidR="0078680C">
              <w:rPr>
                <w:rFonts w:ascii="Arial" w:hAnsi="Arial" w:eastAsia="Arial" w:cs="Arial"/>
                <w:sz w:val="22"/>
                <w:szCs w:val="22"/>
                <w:bdr w:val="nil"/>
                <w:lang w:val="de-DE"/>
              </w:rPr>
              <w:t xml:space="preserve">finanziellen Rechenschaftspflicht </w:t>
            </w:r>
            <w:r>
              <w:rPr>
                <w:rFonts w:ascii="Arial" w:hAnsi="Arial" w:eastAsia="Arial" w:cs="Arial"/>
                <w:sz w:val="22"/>
                <w:szCs w:val="22"/>
                <w:bdr w:val="nil"/>
                <w:lang w:val="de-DE"/>
              </w:rPr>
              <w:t>zu unterstellen</w:t>
            </w:r>
            <w:r w:rsidR="0078680C">
              <w:rPr>
                <w:rFonts w:ascii="Arial" w:hAnsi="Arial" w:eastAsia="Arial" w:cs="Arial"/>
                <w:sz w:val="22"/>
                <w:szCs w:val="22"/>
                <w:bdr w:val="nil"/>
                <w:lang w:val="de-DE"/>
              </w:rPr>
              <w:t>. Diese</w:t>
            </w:r>
            <w:r w:rsidR="009C5318">
              <w:rPr>
                <w:rFonts w:ascii="Arial" w:hAnsi="Arial" w:eastAsia="Arial" w:cs="Arial"/>
                <w:sz w:val="22"/>
                <w:szCs w:val="22"/>
                <w:bdr w:val="nil"/>
                <w:lang w:val="de-DE"/>
              </w:rPr>
              <w:t xml:space="preserve"> Regelungen</w:t>
            </w:r>
            <w:r w:rsidR="0078680C">
              <w:rPr>
                <w:rFonts w:ascii="Arial" w:hAnsi="Arial" w:eastAsia="Arial" w:cs="Arial"/>
                <w:sz w:val="22"/>
                <w:szCs w:val="22"/>
                <w:bdr w:val="nil"/>
                <w:lang w:val="de-DE"/>
              </w:rPr>
              <w:t xml:space="preserve"> dürfen </w:t>
            </w:r>
            <w:r>
              <w:rPr>
                <w:rFonts w:ascii="Arial" w:hAnsi="Arial" w:eastAsia="Arial" w:cs="Arial"/>
                <w:sz w:val="22"/>
                <w:szCs w:val="22"/>
                <w:bdr w:val="nil"/>
                <w:lang w:val="de-DE"/>
              </w:rPr>
              <w:t xml:space="preserve">aber </w:t>
            </w:r>
            <w:r w:rsidR="0078680C">
              <w:rPr>
                <w:rFonts w:ascii="Arial" w:hAnsi="Arial" w:eastAsia="Arial" w:cs="Arial"/>
                <w:sz w:val="22"/>
                <w:szCs w:val="22"/>
                <w:bdr w:val="nil"/>
                <w:lang w:val="de-DE"/>
              </w:rPr>
              <w:t xml:space="preserve">nicht missbraucht werden, um die Tätigkeit der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zu behindern. </w:t>
            </w:r>
            <w:r>
              <w:rPr>
                <w:rFonts w:ascii="Arial" w:hAnsi="Arial" w:eastAsia="Arial" w:cs="Arial"/>
                <w:sz w:val="22"/>
                <w:szCs w:val="22"/>
                <w:bdr w:val="nil"/>
                <w:lang w:val="de-DE"/>
              </w:rPr>
              <w:t>Wo angemessen, können d</w:t>
            </w:r>
            <w:r w:rsidR="009C5318">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Regelungen, die </w:t>
            </w:r>
            <w:r w:rsidR="009C5318">
              <w:rPr>
                <w:rFonts w:ascii="Arial" w:hAnsi="Arial" w:eastAsia="Arial" w:cs="Arial"/>
                <w:sz w:val="22"/>
                <w:szCs w:val="22"/>
                <w:bdr w:val="nil"/>
                <w:lang w:val="de-DE"/>
              </w:rPr>
              <w:t>in dieser Hinsicht</w:t>
            </w:r>
            <w:r w:rsidR="0078680C">
              <w:rPr>
                <w:rFonts w:ascii="Arial" w:hAnsi="Arial" w:eastAsia="Arial" w:cs="Arial"/>
                <w:sz w:val="22"/>
                <w:szCs w:val="22"/>
                <w:bdr w:val="nil"/>
                <w:lang w:val="de-DE"/>
              </w:rPr>
              <w:t xml:space="preserve"> </w:t>
            </w:r>
            <w:r w:rsidR="009C5318">
              <w:rPr>
                <w:rFonts w:ascii="Arial" w:hAnsi="Arial" w:eastAsia="Arial" w:cs="Arial"/>
                <w:sz w:val="22"/>
                <w:szCs w:val="22"/>
                <w:bdr w:val="nil"/>
                <w:lang w:val="de-DE"/>
              </w:rPr>
              <w:t xml:space="preserve">für </w:t>
            </w:r>
            <w:r w:rsidR="0078680C">
              <w:rPr>
                <w:rFonts w:ascii="Arial" w:hAnsi="Arial" w:eastAsia="Arial" w:cs="Arial"/>
                <w:sz w:val="22"/>
                <w:szCs w:val="22"/>
                <w:bdr w:val="nil"/>
                <w:lang w:val="de-DE"/>
              </w:rPr>
              <w:t xml:space="preserve">die Justiz </w:t>
            </w:r>
            <w:r w:rsidR="009C5318">
              <w:rPr>
                <w:rFonts w:ascii="Arial" w:hAnsi="Arial" w:eastAsia="Arial" w:cs="Arial"/>
                <w:sz w:val="22"/>
                <w:szCs w:val="22"/>
                <w:bdr w:val="nil"/>
                <w:lang w:val="de-DE"/>
              </w:rPr>
              <w:t>gelten</w:t>
            </w:r>
            <w:r w:rsidR="0078680C">
              <w:rPr>
                <w:rFonts w:ascii="Arial" w:hAnsi="Arial" w:eastAsia="Arial" w:cs="Arial"/>
                <w:sz w:val="22"/>
                <w:szCs w:val="22"/>
                <w:bdr w:val="nil"/>
                <w:lang w:val="de-DE"/>
              </w:rPr>
              <w:t xml:space="preserve">, auch auf die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angewendet werden. </w:t>
            </w:r>
          </w:p>
        </w:tc>
      </w:tr>
      <w:tr w:rsidRPr="00C0685F" w:rsidR="00D8651C" w:rsidTr="00C0685F" w14:paraId="10FE952E" w14:textId="77777777">
        <w:tc>
          <w:tcPr>
            <w:tcW w:w="10112" w:type="dxa"/>
            <w:gridSpan w:val="2"/>
          </w:tcPr>
          <w:p w:rsidRPr="006353CB" w:rsidR="00DD016F" w:rsidP="005B4190" w:rsidRDefault="00D4725B" w14:paraId="232B36DF" w14:textId="72E2879A">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_Ref483821749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33</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_Ref483821758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34</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D41099" w:rsidRDefault="0078680C" w14:paraId="4BE4BE6F" w14:textId="7945CDA9">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strategische Planung und </w:t>
            </w:r>
            <w:r w:rsidR="009C5318">
              <w:rPr>
                <w:rFonts w:ascii="Arial" w:hAnsi="Arial" w:eastAsia="Arial" w:cs="Arial"/>
                <w:sz w:val="22"/>
                <w:szCs w:val="22"/>
                <w:bdr w:val="nil"/>
                <w:lang w:val="de-DE"/>
              </w:rPr>
              <w:t xml:space="preserve">das Arbeiten </w:t>
            </w:r>
            <w:r w:rsidR="00F03176">
              <w:rPr>
                <w:rFonts w:ascii="Arial" w:hAnsi="Arial" w:eastAsia="Arial" w:cs="Arial"/>
                <w:sz w:val="22"/>
                <w:szCs w:val="22"/>
                <w:bdr w:val="nil"/>
                <w:lang w:val="de-DE"/>
              </w:rPr>
              <w:t>in</w:t>
            </w:r>
            <w:r>
              <w:rPr>
                <w:rFonts w:ascii="Arial" w:hAnsi="Arial" w:eastAsia="Arial" w:cs="Arial"/>
                <w:sz w:val="22"/>
                <w:szCs w:val="22"/>
                <w:bdr w:val="nil"/>
                <w:lang w:val="de-DE"/>
              </w:rPr>
              <w:t xml:space="preserve"> reg</w:t>
            </w:r>
            <w:r w:rsidR="00F03176">
              <w:rPr>
                <w:rFonts w:ascii="Arial" w:hAnsi="Arial" w:eastAsia="Arial" w:cs="Arial"/>
                <w:sz w:val="22"/>
                <w:szCs w:val="22"/>
                <w:bdr w:val="nil"/>
                <w:lang w:val="de-DE"/>
              </w:rPr>
              <w:t>elmäßigen</w:t>
            </w:r>
            <w:r>
              <w:rPr>
                <w:rFonts w:ascii="Arial" w:hAnsi="Arial" w:eastAsia="Arial" w:cs="Arial"/>
                <w:sz w:val="22"/>
                <w:szCs w:val="22"/>
                <w:bdr w:val="nil"/>
                <w:lang w:val="de-DE"/>
              </w:rPr>
              <w:t xml:space="preserve"> Planungs- und Managementzyklen sind </w:t>
            </w:r>
            <w:r w:rsidR="009C5318">
              <w:rPr>
                <w:rFonts w:ascii="Arial" w:hAnsi="Arial" w:eastAsia="Arial" w:cs="Arial"/>
                <w:sz w:val="22"/>
                <w:szCs w:val="22"/>
                <w:bdr w:val="nil"/>
                <w:lang w:val="de-DE"/>
              </w:rPr>
              <w:t xml:space="preserve">wichtig, um </w:t>
            </w:r>
            <w:r w:rsidR="00F03176">
              <w:rPr>
                <w:rFonts w:ascii="Arial" w:hAnsi="Arial" w:eastAsia="Arial" w:cs="Arial"/>
                <w:sz w:val="22"/>
                <w:szCs w:val="22"/>
                <w:bdr w:val="nil"/>
                <w:lang w:val="de-DE"/>
              </w:rPr>
              <w:t>Schwerpunktthemen zu priorisieren</w:t>
            </w:r>
            <w:r>
              <w:rPr>
                <w:rFonts w:ascii="Arial" w:hAnsi="Arial" w:eastAsia="Arial" w:cs="Arial"/>
                <w:sz w:val="22"/>
                <w:szCs w:val="22"/>
                <w:bdr w:val="nil"/>
                <w:lang w:val="de-DE"/>
              </w:rPr>
              <w:t xml:space="preserve">, </w:t>
            </w:r>
            <w:r w:rsidR="00D0685D">
              <w:rPr>
                <w:rFonts w:ascii="Arial" w:hAnsi="Arial" w:eastAsia="Arial" w:cs="Arial"/>
                <w:sz w:val="22"/>
                <w:szCs w:val="22"/>
                <w:bdr w:val="nil"/>
                <w:lang w:val="de-DE"/>
              </w:rPr>
              <w:t>die Wirksamkeit der Stelle zu maximieren,</w:t>
            </w:r>
            <w:r w:rsidDel="00D0685D" w:rsidR="00D0685D">
              <w:rPr>
                <w:rFonts w:ascii="Arial" w:hAnsi="Arial" w:eastAsia="Arial" w:cs="Arial"/>
                <w:sz w:val="22"/>
                <w:szCs w:val="22"/>
                <w:bdr w:val="nil"/>
                <w:lang w:val="de-DE"/>
              </w:rPr>
              <w:t xml:space="preserve"> </w:t>
            </w:r>
            <w:r>
              <w:rPr>
                <w:rFonts w:ascii="Arial" w:hAnsi="Arial" w:eastAsia="Arial" w:cs="Arial"/>
                <w:sz w:val="22"/>
                <w:szCs w:val="22"/>
                <w:bdr w:val="nil"/>
                <w:lang w:val="de-DE"/>
              </w:rPr>
              <w:t>die Arbeitsqualität</w:t>
            </w:r>
            <w:r w:rsidR="00D0685D">
              <w:rPr>
                <w:rFonts w:ascii="Arial" w:hAnsi="Arial" w:eastAsia="Arial" w:cs="Arial"/>
                <w:sz w:val="22"/>
                <w:szCs w:val="22"/>
                <w:bdr w:val="nil"/>
                <w:lang w:val="de-DE"/>
              </w:rPr>
              <w:t xml:space="preserve"> zu verbessern</w:t>
            </w:r>
            <w:r>
              <w:rPr>
                <w:rFonts w:ascii="Arial" w:hAnsi="Arial" w:eastAsia="Arial" w:cs="Arial"/>
                <w:sz w:val="22"/>
                <w:szCs w:val="22"/>
                <w:bdr w:val="nil"/>
                <w:lang w:val="de-DE"/>
              </w:rPr>
              <w:t xml:space="preserve">, </w:t>
            </w:r>
            <w:r w:rsidR="00D0685D">
              <w:rPr>
                <w:rFonts w:ascii="Arial" w:hAnsi="Arial" w:eastAsia="Arial" w:cs="Arial"/>
                <w:sz w:val="22"/>
                <w:szCs w:val="22"/>
                <w:bdr w:val="nil"/>
                <w:lang w:val="de-DE"/>
              </w:rPr>
              <w:t xml:space="preserve">die Ressourcen effizient zu </w:t>
            </w:r>
            <w:r>
              <w:rPr>
                <w:rFonts w:ascii="Arial" w:hAnsi="Arial" w:eastAsia="Arial" w:cs="Arial"/>
                <w:sz w:val="22"/>
                <w:szCs w:val="22"/>
                <w:bdr w:val="nil"/>
                <w:lang w:val="de-DE"/>
              </w:rPr>
              <w:t>verwend</w:t>
            </w:r>
            <w:r w:rsidR="00D0685D">
              <w:rPr>
                <w:rFonts w:ascii="Arial" w:hAnsi="Arial" w:eastAsia="Arial" w:cs="Arial"/>
                <w:sz w:val="22"/>
                <w:szCs w:val="22"/>
                <w:bdr w:val="nil"/>
                <w:lang w:val="de-DE"/>
              </w:rPr>
              <w:t xml:space="preserve">en </w:t>
            </w:r>
            <w:r>
              <w:rPr>
                <w:rFonts w:ascii="Arial" w:hAnsi="Arial" w:eastAsia="Arial" w:cs="Arial"/>
                <w:sz w:val="22"/>
                <w:szCs w:val="22"/>
                <w:bdr w:val="nil"/>
                <w:lang w:val="de-DE"/>
              </w:rPr>
              <w:t>und eine</w:t>
            </w:r>
            <w:r w:rsidR="00D0685D">
              <w:rPr>
                <w:rFonts w:ascii="Arial" w:hAnsi="Arial" w:eastAsia="Arial" w:cs="Arial"/>
                <w:sz w:val="22"/>
                <w:szCs w:val="22"/>
                <w:bdr w:val="nil"/>
                <w:lang w:val="de-DE"/>
              </w:rPr>
              <w:t xml:space="preserve">n Prozess des fortdauernden </w:t>
            </w:r>
            <w:r>
              <w:rPr>
                <w:rFonts w:ascii="Arial" w:hAnsi="Arial" w:eastAsia="Arial" w:cs="Arial"/>
                <w:sz w:val="22"/>
                <w:szCs w:val="22"/>
                <w:bdr w:val="nil"/>
                <w:lang w:val="de-DE"/>
              </w:rPr>
              <w:t>Lern</w:t>
            </w:r>
            <w:r w:rsidR="00D0685D">
              <w:rPr>
                <w:rFonts w:ascii="Arial" w:hAnsi="Arial" w:eastAsia="Arial" w:cs="Arial"/>
                <w:sz w:val="22"/>
                <w:szCs w:val="22"/>
                <w:bdr w:val="nil"/>
                <w:lang w:val="de-DE"/>
              </w:rPr>
              <w:t xml:space="preserve">ens und der kontinuierlichen </w:t>
            </w:r>
            <w:r>
              <w:rPr>
                <w:rFonts w:ascii="Arial" w:hAnsi="Arial" w:eastAsia="Arial" w:cs="Arial"/>
                <w:sz w:val="22"/>
                <w:szCs w:val="22"/>
                <w:bdr w:val="nil"/>
                <w:lang w:val="de-DE"/>
              </w:rPr>
              <w:t xml:space="preserve">Verbesserung innerhalb der </w:t>
            </w:r>
            <w:r w:rsidR="00781974">
              <w:rPr>
                <w:rFonts w:ascii="Arial" w:hAnsi="Arial" w:eastAsia="Arial" w:cs="Arial"/>
                <w:sz w:val="22"/>
                <w:szCs w:val="22"/>
                <w:bdr w:val="nil"/>
                <w:lang w:val="de-DE"/>
              </w:rPr>
              <w:t>Gleichheitsstelle</w:t>
            </w:r>
            <w:r w:rsidR="00D0685D">
              <w:rPr>
                <w:rFonts w:ascii="Arial" w:hAnsi="Arial" w:eastAsia="Arial" w:cs="Arial"/>
                <w:sz w:val="22"/>
                <w:szCs w:val="22"/>
                <w:bdr w:val="nil"/>
                <w:lang w:val="de-DE"/>
              </w:rPr>
              <w:t xml:space="preserve"> sicherzustellen</w:t>
            </w:r>
            <w:r>
              <w:rPr>
                <w:rFonts w:ascii="Arial" w:hAnsi="Arial" w:eastAsia="Arial" w:cs="Arial"/>
                <w:sz w:val="22"/>
                <w:szCs w:val="22"/>
                <w:bdr w:val="nil"/>
                <w:lang w:val="de-DE"/>
              </w:rPr>
              <w:t xml:space="preserve">. Diese Planungs- und Managementzyklen </w:t>
            </w:r>
            <w:r w:rsidR="00D0685D">
              <w:rPr>
                <w:rFonts w:ascii="Arial" w:hAnsi="Arial" w:eastAsia="Arial" w:cs="Arial"/>
                <w:sz w:val="22"/>
                <w:szCs w:val="22"/>
                <w:bdr w:val="nil"/>
                <w:lang w:val="de-DE"/>
              </w:rPr>
              <w:t xml:space="preserve">umfassen </w:t>
            </w:r>
            <w:r>
              <w:rPr>
                <w:rFonts w:ascii="Arial" w:hAnsi="Arial" w:eastAsia="Arial" w:cs="Arial"/>
                <w:sz w:val="22"/>
                <w:szCs w:val="22"/>
                <w:bdr w:val="nil"/>
                <w:lang w:val="de-DE"/>
              </w:rPr>
              <w:t xml:space="preserve">in der Regel eine Analyse der anstehenden Herausforderungen, ein Festlegen von Zielen und Vorgaben, die Planung und Ausarbeitung von Aktivitäten, die Umsetzung dieser Aktivitäten, die Evaluierung ihrer Auswirkungen und eine Reflexion der abgeschlossenen Arbeit und der erzielten Fortschritte. </w:t>
            </w:r>
            <w:r w:rsidR="00D0685D">
              <w:rPr>
                <w:rFonts w:ascii="Arial" w:hAnsi="Arial" w:eastAsia="Arial" w:cs="Arial"/>
                <w:sz w:val="22"/>
                <w:szCs w:val="22"/>
                <w:bdr w:val="nil"/>
                <w:lang w:val="de-DE"/>
              </w:rPr>
              <w:t xml:space="preserve">Sie </w:t>
            </w:r>
            <w:r>
              <w:rPr>
                <w:rFonts w:ascii="Arial" w:hAnsi="Arial" w:eastAsia="Arial" w:cs="Arial"/>
                <w:sz w:val="22"/>
                <w:szCs w:val="22"/>
                <w:bdr w:val="nil"/>
                <w:lang w:val="de-DE"/>
              </w:rPr>
              <w:t>sollte</w:t>
            </w:r>
            <w:r w:rsidR="00F03176">
              <w:rPr>
                <w:rFonts w:ascii="Arial" w:hAnsi="Arial" w:eastAsia="Arial" w:cs="Arial"/>
                <w:sz w:val="22"/>
                <w:szCs w:val="22"/>
                <w:bdr w:val="nil"/>
                <w:lang w:val="de-DE"/>
              </w:rPr>
              <w:t>n daz dienen sicherzustellen</w:t>
            </w:r>
            <w:r>
              <w:rPr>
                <w:rFonts w:ascii="Arial" w:hAnsi="Arial" w:eastAsia="Arial" w:cs="Arial"/>
                <w:sz w:val="22"/>
                <w:szCs w:val="22"/>
                <w:bdr w:val="nil"/>
                <w:lang w:val="de-DE"/>
              </w:rPr>
              <w:t xml:space="preserve">, dass die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Pr="005B43FD" w:rsidR="005B43FD">
              <w:rPr>
                <w:rFonts w:ascii="Arial" w:hAnsi="Arial" w:eastAsia="Arial" w:cs="Arial"/>
                <w:sz w:val="22"/>
                <w:szCs w:val="22"/>
                <w:bdr w:val="nil"/>
                <w:lang w:val="de-DE"/>
              </w:rPr>
              <w:t xml:space="preserve">über alle Funktionsbereiche </w:t>
            </w:r>
            <w:r w:rsidR="005B43FD">
              <w:rPr>
                <w:rFonts w:ascii="Arial" w:hAnsi="Arial" w:eastAsia="Arial" w:cs="Arial"/>
                <w:sz w:val="22"/>
                <w:szCs w:val="22"/>
                <w:bdr w:val="nil"/>
                <w:lang w:val="de-DE"/>
              </w:rPr>
              <w:t xml:space="preserve">hinweg </w:t>
            </w:r>
            <w:r>
              <w:rPr>
                <w:rFonts w:ascii="Arial" w:hAnsi="Arial" w:eastAsia="Arial" w:cs="Arial"/>
                <w:sz w:val="22"/>
                <w:szCs w:val="22"/>
                <w:bdr w:val="nil"/>
                <w:lang w:val="de-DE"/>
              </w:rPr>
              <w:t>einen strategischen Mix aus Aktivitäten verfolgt, d</w:t>
            </w:r>
            <w:r w:rsidR="00D0685D">
              <w:rPr>
                <w:rFonts w:ascii="Arial" w:hAnsi="Arial" w:eastAsia="Arial" w:cs="Arial"/>
                <w:sz w:val="22"/>
                <w:szCs w:val="22"/>
                <w:bdr w:val="nil"/>
                <w:lang w:val="de-DE"/>
              </w:rPr>
              <w:t>er</w:t>
            </w:r>
            <w:r>
              <w:rPr>
                <w:rFonts w:ascii="Arial" w:hAnsi="Arial" w:eastAsia="Arial" w:cs="Arial"/>
                <w:sz w:val="22"/>
                <w:szCs w:val="22"/>
                <w:bdr w:val="nil"/>
                <w:lang w:val="de-DE"/>
              </w:rPr>
              <w:t xml:space="preserve"> ihre Ziele voranbring</w:t>
            </w:r>
            <w:r w:rsidR="00D0685D">
              <w:rPr>
                <w:rFonts w:ascii="Arial" w:hAnsi="Arial" w:eastAsia="Arial" w:cs="Arial"/>
                <w:sz w:val="22"/>
                <w:szCs w:val="22"/>
                <w:bdr w:val="nil"/>
                <w:lang w:val="de-DE"/>
              </w:rPr>
              <w:t>t</w:t>
            </w:r>
            <w:r>
              <w:rPr>
                <w:rFonts w:ascii="Arial" w:hAnsi="Arial" w:eastAsia="Arial" w:cs="Arial"/>
                <w:sz w:val="22"/>
                <w:szCs w:val="22"/>
                <w:bdr w:val="nil"/>
                <w:lang w:val="de-DE"/>
              </w:rPr>
              <w:t xml:space="preserve"> und ihren Einfluss maximier</w:t>
            </w:r>
            <w:r w:rsidR="00D0685D">
              <w:rPr>
                <w:rFonts w:ascii="Arial" w:hAnsi="Arial" w:eastAsia="Arial" w:cs="Arial"/>
                <w:sz w:val="22"/>
                <w:szCs w:val="22"/>
                <w:bdr w:val="nil"/>
                <w:lang w:val="de-DE"/>
              </w:rPr>
              <w:t>t</w:t>
            </w:r>
            <w:r>
              <w:rPr>
                <w:rFonts w:ascii="Arial" w:hAnsi="Arial" w:eastAsia="Arial" w:cs="Arial"/>
                <w:sz w:val="22"/>
                <w:szCs w:val="22"/>
                <w:bdr w:val="nil"/>
                <w:lang w:val="de-DE"/>
              </w:rPr>
              <w:t xml:space="preserve"> (siehe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6C29B1">
              <w:rPr>
                <w:rFonts w:ascii="Arial" w:hAnsi="Arial" w:cs="Arial"/>
                <w:sz w:val="22"/>
                <w:szCs w:val="22"/>
                <w:lang w:val="de-DE"/>
              </w:rPr>
              <w:instrText xml:space="preserve"> REF _Ref484017007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12</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w:t>
            </w:r>
          </w:p>
          <w:p w:rsidRPr="00C0685F" w:rsidR="00DD016F" w:rsidP="00D41099" w:rsidRDefault="00781974" w14:paraId="216A95B9" w14:textId="28C20517">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Indikatoren, Ausgangs</w:t>
            </w:r>
            <w:r w:rsidR="00D0685D">
              <w:rPr>
                <w:rFonts w:ascii="Arial" w:hAnsi="Arial" w:eastAsia="Arial" w:cs="Arial"/>
                <w:sz w:val="22"/>
                <w:szCs w:val="22"/>
                <w:bdr w:val="nil"/>
                <w:lang w:val="de-DE"/>
              </w:rPr>
              <w:t xml:space="preserve">punkte </w:t>
            </w:r>
            <w:r w:rsidR="0078680C">
              <w:rPr>
                <w:rFonts w:ascii="Arial" w:hAnsi="Arial" w:eastAsia="Arial" w:cs="Arial"/>
                <w:sz w:val="22"/>
                <w:szCs w:val="22"/>
                <w:bdr w:val="nil"/>
                <w:lang w:val="de-DE"/>
              </w:rPr>
              <w:t xml:space="preserve">und Zielvorgaben für Kernziele und -aktivitäten ausarbeiten, die </w:t>
            </w:r>
            <w:r w:rsidR="00D0685D">
              <w:rPr>
                <w:rFonts w:ascii="Arial" w:hAnsi="Arial" w:eastAsia="Arial" w:cs="Arial"/>
                <w:sz w:val="22"/>
                <w:szCs w:val="22"/>
                <w:bdr w:val="nil"/>
                <w:lang w:val="de-DE"/>
              </w:rPr>
              <w:t>sie in die Lage versetz</w:t>
            </w:r>
            <w:r w:rsidR="005B43FD">
              <w:rPr>
                <w:rFonts w:ascii="Arial" w:hAnsi="Arial" w:eastAsia="Arial" w:cs="Arial"/>
                <w:sz w:val="22"/>
                <w:szCs w:val="22"/>
                <w:bdr w:val="nil"/>
                <w:lang w:val="de-DE"/>
              </w:rPr>
              <w:t>en</w:t>
            </w:r>
            <w:r w:rsidR="00D0685D">
              <w:rPr>
                <w:rFonts w:ascii="Arial" w:hAnsi="Arial" w:eastAsia="Arial" w:cs="Arial"/>
                <w:sz w:val="22"/>
                <w:szCs w:val="22"/>
                <w:bdr w:val="nil"/>
                <w:lang w:val="de-DE"/>
              </w:rPr>
              <w:t>, den Einsatz von Ressourcen für die verschiedenen Aktivitäten</w:t>
            </w:r>
            <w:r w:rsidR="0078680C">
              <w:rPr>
                <w:rFonts w:ascii="Arial" w:hAnsi="Arial" w:eastAsia="Arial" w:cs="Arial"/>
                <w:sz w:val="22"/>
                <w:szCs w:val="22"/>
                <w:bdr w:val="nil"/>
                <w:lang w:val="de-DE"/>
              </w:rPr>
              <w:t>, d</w:t>
            </w:r>
            <w:r w:rsidR="00D0685D">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Ergebnisse dieser Aktivitäten und d</w:t>
            </w:r>
            <w:r w:rsidR="005B43FD">
              <w:rPr>
                <w:rFonts w:ascii="Arial" w:hAnsi="Arial" w:eastAsia="Arial" w:cs="Arial"/>
                <w:sz w:val="22"/>
                <w:szCs w:val="22"/>
                <w:bdr w:val="nil"/>
                <w:lang w:val="de-DE"/>
              </w:rPr>
              <w:t>ie</w:t>
            </w:r>
            <w:r w:rsidR="0078680C">
              <w:rPr>
                <w:rFonts w:ascii="Arial" w:hAnsi="Arial" w:eastAsia="Arial" w:cs="Arial"/>
                <w:sz w:val="22"/>
                <w:szCs w:val="22"/>
                <w:bdr w:val="nil"/>
                <w:lang w:val="de-DE"/>
              </w:rPr>
              <w:t xml:space="preserve"> Auswirkungen einzelner Aktivitäten </w:t>
            </w:r>
            <w:r w:rsidR="005B43FD">
              <w:rPr>
                <w:rFonts w:ascii="Arial" w:hAnsi="Arial" w:eastAsia="Arial" w:cs="Arial"/>
                <w:sz w:val="22"/>
                <w:szCs w:val="22"/>
                <w:bdr w:val="nil"/>
                <w:lang w:val="de-DE"/>
              </w:rPr>
              <w:t xml:space="preserve">sowie </w:t>
            </w:r>
            <w:r w:rsidR="00D0685D">
              <w:rPr>
                <w:rFonts w:ascii="Arial" w:hAnsi="Arial" w:eastAsia="Arial" w:cs="Arial"/>
                <w:sz w:val="22"/>
                <w:szCs w:val="22"/>
                <w:bdr w:val="nil"/>
                <w:lang w:val="de-DE"/>
              </w:rPr>
              <w:t>die Gesamtwirkung</w:t>
            </w:r>
            <w:r w:rsidR="0078680C">
              <w:rPr>
                <w:rFonts w:ascii="Arial" w:hAnsi="Arial" w:eastAsia="Arial" w:cs="Arial"/>
                <w:sz w:val="22"/>
                <w:szCs w:val="22"/>
                <w:bdr w:val="nil"/>
                <w:lang w:val="de-DE"/>
              </w:rPr>
              <w:t xml:space="preserve">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D0685D">
              <w:rPr>
                <w:rFonts w:ascii="Arial" w:hAnsi="Arial" w:eastAsia="Arial" w:cs="Arial"/>
                <w:sz w:val="22"/>
                <w:szCs w:val="22"/>
                <w:bdr w:val="nil"/>
                <w:lang w:val="de-DE"/>
              </w:rPr>
              <w:t>zu messen</w:t>
            </w:r>
            <w:r w:rsidR="0078680C">
              <w:rPr>
                <w:rFonts w:ascii="Arial" w:hAnsi="Arial" w:eastAsia="Arial" w:cs="Arial"/>
                <w:sz w:val="22"/>
                <w:szCs w:val="22"/>
                <w:bdr w:val="nil"/>
                <w:lang w:val="de-DE"/>
              </w:rPr>
              <w:t>. Sie sollten regelmäßig ihre Tätigkeit im Rahmen einer Selbstbewertung und von Zeit zu Zeit einer externen Evaluierung beurteilen und interne Prozesse und Informationsflüsse einrichten, die alle Mitarbeiter in kollektive</w:t>
            </w:r>
            <w:r w:rsidR="00D0685D">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Lern</w:t>
            </w:r>
            <w:r w:rsidR="00D0685D">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und </w:t>
            </w:r>
            <w:r w:rsidR="00D0685D">
              <w:rPr>
                <w:rFonts w:ascii="Arial" w:hAnsi="Arial" w:eastAsia="Arial" w:cs="Arial"/>
                <w:sz w:val="22"/>
                <w:szCs w:val="22"/>
                <w:bdr w:val="nil"/>
                <w:lang w:val="de-DE"/>
              </w:rPr>
              <w:t xml:space="preserve">einen </w:t>
            </w:r>
            <w:r w:rsidR="0078680C">
              <w:rPr>
                <w:rFonts w:ascii="Arial" w:hAnsi="Arial" w:eastAsia="Arial" w:cs="Arial"/>
                <w:sz w:val="22"/>
                <w:szCs w:val="22"/>
                <w:bdr w:val="nil"/>
                <w:lang w:val="de-DE"/>
              </w:rPr>
              <w:t>kontinuierlichen Verbesserung</w:t>
            </w:r>
            <w:r w:rsidR="00D0685D">
              <w:rPr>
                <w:rFonts w:ascii="Arial" w:hAnsi="Arial" w:eastAsia="Arial" w:cs="Arial"/>
                <w:sz w:val="22"/>
                <w:szCs w:val="22"/>
                <w:bdr w:val="nil"/>
                <w:lang w:val="de-DE"/>
              </w:rPr>
              <w:t>sprozess einbinden</w:t>
            </w:r>
            <w:r w:rsidR="0078680C">
              <w:rPr>
                <w:rFonts w:ascii="Arial" w:hAnsi="Arial" w:eastAsia="Arial" w:cs="Arial"/>
                <w:sz w:val="22"/>
                <w:szCs w:val="22"/>
                <w:bdr w:val="nil"/>
                <w:lang w:val="de-DE"/>
              </w:rPr>
              <w:t xml:space="preserve">. Diese Planungs- und Managementprozesse sollten einfach, aber effektiv sein und </w:t>
            </w:r>
            <w:r w:rsidR="00D0685D">
              <w:rPr>
                <w:rFonts w:ascii="Arial" w:hAnsi="Arial" w:eastAsia="Arial" w:cs="Arial"/>
                <w:sz w:val="22"/>
                <w:szCs w:val="22"/>
                <w:bdr w:val="nil"/>
                <w:lang w:val="de-DE"/>
              </w:rPr>
              <w:t xml:space="preserve">nicht zu viele Ressourcen </w:t>
            </w:r>
            <w:r w:rsidR="00327435">
              <w:rPr>
                <w:rFonts w:ascii="Arial" w:hAnsi="Arial" w:eastAsia="Arial" w:cs="Arial"/>
                <w:sz w:val="22"/>
                <w:szCs w:val="22"/>
                <w:bdr w:val="nil"/>
                <w:lang w:val="de-DE"/>
              </w:rPr>
              <w:t>in Anspruch nehmen</w:t>
            </w:r>
            <w:r w:rsidR="0078680C">
              <w:rPr>
                <w:rFonts w:ascii="Arial" w:hAnsi="Arial" w:eastAsia="Arial" w:cs="Arial"/>
                <w:sz w:val="22"/>
                <w:szCs w:val="22"/>
                <w:bdr w:val="nil"/>
                <w:lang w:val="de-DE"/>
              </w:rPr>
              <w:t>.</w:t>
            </w:r>
          </w:p>
        </w:tc>
      </w:tr>
      <w:tr w:rsidRPr="00046FAE" w:rsidR="00D8651C" w:rsidTr="00C0685F" w14:paraId="4EE30C4B" w14:textId="77777777">
        <w:tc>
          <w:tcPr>
            <w:tcW w:w="10112" w:type="dxa"/>
            <w:gridSpan w:val="2"/>
          </w:tcPr>
          <w:p w:rsidRPr="006C29B1" w:rsidR="00DD016F" w:rsidP="00D41099" w:rsidRDefault="0078680C" w14:paraId="11ADB751" w14:textId="54F208F1">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Angesichts der Komplexität der Kommunikationsanforderungen, mit denen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konfrontiert sind, sollten </w:t>
            </w:r>
            <w:r w:rsidR="005B43FD">
              <w:rPr>
                <w:rFonts w:ascii="Arial" w:hAnsi="Arial" w:eastAsia="Arial" w:cs="Arial"/>
                <w:sz w:val="22"/>
                <w:szCs w:val="22"/>
                <w:bdr w:val="nil"/>
                <w:lang w:val="de-DE"/>
              </w:rPr>
              <w:t xml:space="preserve">diese </w:t>
            </w:r>
            <w:r>
              <w:rPr>
                <w:rFonts w:ascii="Arial" w:hAnsi="Arial" w:eastAsia="Arial" w:cs="Arial"/>
                <w:sz w:val="22"/>
                <w:szCs w:val="22"/>
                <w:bdr w:val="nil"/>
                <w:lang w:val="de-DE"/>
              </w:rPr>
              <w:t xml:space="preserve">eine separate Kommunikationsstrategie entwickeln. Diese Strategie sollte die Kommunikationsziele, die vorrangigen Zielgruppen, die zu kommunizierenden Kernaussagen, die verschiedenen einzusetzenden Kommunikationsmittel und die effiziente Verwendung der verfügbaren Ressourcen </w:t>
            </w:r>
            <w:r w:rsidR="00327435">
              <w:rPr>
                <w:rFonts w:ascii="Arial" w:hAnsi="Arial" w:eastAsia="Arial" w:cs="Arial"/>
                <w:sz w:val="22"/>
                <w:szCs w:val="22"/>
                <w:bdr w:val="nil"/>
                <w:lang w:val="de-DE"/>
              </w:rPr>
              <w:t>festlegen</w:t>
            </w:r>
            <w:r>
              <w:rPr>
                <w:rFonts w:ascii="Arial" w:hAnsi="Arial" w:eastAsia="Arial" w:cs="Arial"/>
                <w:sz w:val="22"/>
                <w:szCs w:val="22"/>
                <w:bdr w:val="nil"/>
                <w:lang w:val="de-DE"/>
              </w:rPr>
              <w:t xml:space="preserve">. </w:t>
            </w:r>
          </w:p>
          <w:p w:rsidRPr="006C29B1" w:rsidR="00DD016F" w:rsidP="00D41099" w:rsidRDefault="0078680C" w14:paraId="505E5B58" w14:textId="26ACE6C9">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wichtigsten Zielgruppen und Kernaussagen sind in der Regel: (i) die </w:t>
            </w:r>
            <w:r w:rsidR="00327435">
              <w:rPr>
                <w:rFonts w:ascii="Arial" w:hAnsi="Arial" w:eastAsia="Arial" w:cs="Arial"/>
                <w:sz w:val="22"/>
                <w:szCs w:val="22"/>
                <w:bdr w:val="nil"/>
                <w:lang w:val="de-DE"/>
              </w:rPr>
              <w:t xml:space="preserve">breite </w:t>
            </w:r>
            <w:r>
              <w:rPr>
                <w:rFonts w:ascii="Arial" w:hAnsi="Arial" w:eastAsia="Arial" w:cs="Arial"/>
                <w:sz w:val="22"/>
                <w:szCs w:val="22"/>
                <w:bdr w:val="nil"/>
                <w:lang w:val="de-DE"/>
              </w:rPr>
              <w:t xml:space="preserve">Öffentlichkeit, um </w:t>
            </w:r>
            <w:r w:rsidR="005B43FD">
              <w:rPr>
                <w:rFonts w:ascii="Arial" w:hAnsi="Arial" w:eastAsia="Arial" w:cs="Arial"/>
                <w:sz w:val="22"/>
                <w:szCs w:val="22"/>
                <w:bdr w:val="nil"/>
                <w:lang w:val="de-DE"/>
              </w:rPr>
              <w:t xml:space="preserve">die </w:t>
            </w:r>
            <w:r>
              <w:rPr>
                <w:rFonts w:ascii="Arial" w:hAnsi="Arial" w:eastAsia="Arial" w:cs="Arial"/>
                <w:sz w:val="22"/>
                <w:szCs w:val="22"/>
                <w:bdr w:val="nil"/>
                <w:lang w:val="de-DE"/>
              </w:rPr>
              <w:t>gesellschaftliche Wertschätzung und positive Einstellung</w:t>
            </w:r>
            <w:r w:rsidR="005B43FD">
              <w:rPr>
                <w:rFonts w:ascii="Arial" w:hAnsi="Arial" w:eastAsia="Arial" w:cs="Arial"/>
                <w:sz w:val="22"/>
                <w:szCs w:val="22"/>
                <w:bdr w:val="nil"/>
                <w:lang w:val="de-DE"/>
              </w:rPr>
              <w:t>en</w:t>
            </w:r>
            <w:r>
              <w:rPr>
                <w:rFonts w:ascii="Arial" w:hAnsi="Arial" w:eastAsia="Arial" w:cs="Arial"/>
                <w:sz w:val="22"/>
                <w:szCs w:val="22"/>
                <w:bdr w:val="nil"/>
                <w:lang w:val="de-DE"/>
              </w:rPr>
              <w:t xml:space="preserve"> im Hinblick auf Gleichheit, Vielfalt und Nichtdiskriminierung zu </w:t>
            </w:r>
            <w:r w:rsidR="005B43FD">
              <w:rPr>
                <w:rFonts w:ascii="Arial" w:hAnsi="Arial" w:eastAsia="Arial" w:cs="Arial"/>
                <w:sz w:val="22"/>
                <w:szCs w:val="22"/>
                <w:bdr w:val="nil"/>
                <w:lang w:val="de-DE"/>
              </w:rPr>
              <w:t>fördern</w:t>
            </w:r>
            <w:r>
              <w:rPr>
                <w:rFonts w:ascii="Arial" w:hAnsi="Arial" w:eastAsia="Arial" w:cs="Arial"/>
                <w:sz w:val="22"/>
                <w:szCs w:val="22"/>
                <w:bdr w:val="nil"/>
                <w:lang w:val="de-DE"/>
              </w:rPr>
              <w:t xml:space="preserve">, das </w:t>
            </w:r>
            <w:r w:rsidR="00327435">
              <w:rPr>
                <w:rFonts w:ascii="Arial" w:hAnsi="Arial" w:eastAsia="Arial" w:cs="Arial"/>
                <w:sz w:val="22"/>
                <w:szCs w:val="22"/>
                <w:bdr w:val="nil"/>
                <w:lang w:val="de-DE"/>
              </w:rPr>
              <w:t xml:space="preserve">Verständnis </w:t>
            </w:r>
            <w:r>
              <w:rPr>
                <w:rFonts w:ascii="Arial" w:hAnsi="Arial" w:eastAsia="Arial" w:cs="Arial"/>
                <w:sz w:val="22"/>
                <w:szCs w:val="22"/>
                <w:bdr w:val="nil"/>
                <w:lang w:val="de-DE"/>
              </w:rPr>
              <w:t>zu diesen Themen zu verbessern und die Motivation zu erhöhen, zur Gleichheit beizutragen; (ii) d</w:t>
            </w:r>
            <w:r w:rsidR="00327435">
              <w:rPr>
                <w:rFonts w:ascii="Arial" w:hAnsi="Arial" w:eastAsia="Arial" w:cs="Arial"/>
                <w:sz w:val="22"/>
                <w:szCs w:val="22"/>
                <w:bdr w:val="nil"/>
                <w:lang w:val="de-DE"/>
              </w:rPr>
              <w:t>as</w:t>
            </w:r>
            <w:r>
              <w:rPr>
                <w:rFonts w:ascii="Arial" w:hAnsi="Arial" w:eastAsia="Arial" w:cs="Arial"/>
                <w:sz w:val="22"/>
                <w:szCs w:val="22"/>
                <w:bdr w:val="nil"/>
                <w:lang w:val="de-DE"/>
              </w:rPr>
              <w:t xml:space="preserve"> </w:t>
            </w:r>
            <w:r w:rsidR="00327435">
              <w:rPr>
                <w:rFonts w:ascii="Arial" w:hAnsi="Arial" w:eastAsia="Arial" w:cs="Arial"/>
                <w:sz w:val="22"/>
                <w:szCs w:val="22"/>
                <w:bdr w:val="nil"/>
                <w:lang w:val="de-DE"/>
              </w:rPr>
              <w:t xml:space="preserve">gesamte Spektrum </w:t>
            </w:r>
            <w:r>
              <w:rPr>
                <w:rFonts w:ascii="Arial" w:hAnsi="Arial" w:eastAsia="Arial" w:cs="Arial"/>
                <w:sz w:val="22"/>
                <w:szCs w:val="22"/>
                <w:bdr w:val="nil"/>
                <w:lang w:val="de-DE"/>
              </w:rPr>
              <w:t xml:space="preserve">der Institutionen </w:t>
            </w:r>
            <w:r w:rsidR="00327435">
              <w:rPr>
                <w:rFonts w:ascii="Arial" w:hAnsi="Arial" w:eastAsia="Arial" w:cs="Arial"/>
                <w:sz w:val="22"/>
                <w:szCs w:val="22"/>
                <w:bdr w:val="nil"/>
                <w:lang w:val="de-DE"/>
              </w:rPr>
              <w:t>des</w:t>
            </w:r>
            <w:r>
              <w:rPr>
                <w:rFonts w:ascii="Arial" w:hAnsi="Arial" w:eastAsia="Arial" w:cs="Arial"/>
                <w:sz w:val="22"/>
                <w:szCs w:val="22"/>
                <w:bdr w:val="nil"/>
                <w:lang w:val="de-DE"/>
              </w:rPr>
              <w:t xml:space="preserve"> öffentlichen und </w:t>
            </w:r>
            <w:r>
              <w:rPr>
                <w:rFonts w:ascii="Arial" w:hAnsi="Arial" w:eastAsia="Arial" w:cs="Arial"/>
                <w:sz w:val="22"/>
                <w:szCs w:val="22"/>
                <w:bdr w:val="nil"/>
                <w:lang w:val="de-DE"/>
              </w:rPr>
              <w:lastRenderedPageBreak/>
              <w:t>privaten Sektor</w:t>
            </w:r>
            <w:r w:rsidR="00327435">
              <w:rPr>
                <w:rFonts w:ascii="Arial" w:hAnsi="Arial" w:eastAsia="Arial" w:cs="Arial"/>
                <w:sz w:val="22"/>
                <w:szCs w:val="22"/>
                <w:bdr w:val="nil"/>
                <w:lang w:val="de-DE"/>
              </w:rPr>
              <w:t>s</w:t>
            </w:r>
            <w:r>
              <w:rPr>
                <w:rFonts w:ascii="Arial" w:hAnsi="Arial" w:eastAsia="Arial" w:cs="Arial"/>
                <w:sz w:val="22"/>
                <w:szCs w:val="22"/>
                <w:bdr w:val="nil"/>
                <w:lang w:val="de-DE"/>
              </w:rPr>
              <w:t xml:space="preserve">, um Wissen und Verständnis </w:t>
            </w:r>
            <w:r w:rsidR="00327435">
              <w:rPr>
                <w:rFonts w:ascii="Arial" w:hAnsi="Arial" w:eastAsia="Arial" w:cs="Arial"/>
                <w:sz w:val="22"/>
                <w:szCs w:val="22"/>
                <w:bdr w:val="nil"/>
                <w:lang w:val="de-DE"/>
              </w:rPr>
              <w:t xml:space="preserve">für </w:t>
            </w:r>
            <w:r>
              <w:rPr>
                <w:rFonts w:ascii="Arial" w:hAnsi="Arial" w:eastAsia="Arial" w:cs="Arial"/>
                <w:sz w:val="22"/>
                <w:szCs w:val="22"/>
                <w:bdr w:val="nil"/>
                <w:lang w:val="de-DE"/>
              </w:rPr>
              <w:t>ihre Verpflichtungen</w:t>
            </w:r>
            <w:r w:rsidR="00327435">
              <w:rPr>
                <w:rFonts w:ascii="Arial" w:hAnsi="Arial" w:eastAsia="Arial" w:cs="Arial"/>
                <w:sz w:val="22"/>
                <w:szCs w:val="22"/>
                <w:bdr w:val="nil"/>
                <w:lang w:val="de-DE"/>
              </w:rPr>
              <w:t xml:space="preserve"> unter der</w:t>
            </w:r>
            <w:r>
              <w:rPr>
                <w:rFonts w:ascii="Arial" w:hAnsi="Arial" w:eastAsia="Arial" w:cs="Arial"/>
                <w:sz w:val="22"/>
                <w:szCs w:val="22"/>
                <w:bdr w:val="nil"/>
                <w:lang w:val="de-DE"/>
              </w:rPr>
              <w:t xml:space="preserve"> Gleichheitsgesetz</w:t>
            </w:r>
            <w:r w:rsidR="00327435">
              <w:rPr>
                <w:rFonts w:ascii="Arial" w:hAnsi="Arial" w:eastAsia="Arial" w:cs="Arial"/>
                <w:sz w:val="22"/>
                <w:szCs w:val="22"/>
                <w:bdr w:val="nil"/>
                <w:lang w:val="de-DE"/>
              </w:rPr>
              <w:t>gebung</w:t>
            </w:r>
            <w:r>
              <w:rPr>
                <w:rFonts w:ascii="Arial" w:hAnsi="Arial" w:eastAsia="Arial" w:cs="Arial"/>
                <w:sz w:val="22"/>
                <w:szCs w:val="22"/>
                <w:bdr w:val="nil"/>
                <w:lang w:val="de-DE"/>
              </w:rPr>
              <w:t xml:space="preserve"> zu verbreiten und um ihre Motivation und </w:t>
            </w:r>
            <w:r w:rsidR="00327435">
              <w:rPr>
                <w:rFonts w:ascii="Arial" w:hAnsi="Arial" w:eastAsia="Arial" w:cs="Arial"/>
                <w:sz w:val="22"/>
                <w:szCs w:val="22"/>
                <w:bdr w:val="nil"/>
                <w:lang w:val="de-DE"/>
              </w:rPr>
              <w:t xml:space="preserve">Fähigkeit </w:t>
            </w:r>
            <w:r>
              <w:rPr>
                <w:rFonts w:ascii="Arial" w:hAnsi="Arial" w:eastAsia="Arial" w:cs="Arial"/>
                <w:sz w:val="22"/>
                <w:szCs w:val="22"/>
                <w:bdr w:val="nil"/>
                <w:lang w:val="de-DE"/>
              </w:rPr>
              <w:t xml:space="preserve">zu </w:t>
            </w:r>
            <w:r w:rsidR="00327435">
              <w:rPr>
                <w:rFonts w:ascii="Arial" w:hAnsi="Arial" w:eastAsia="Arial" w:cs="Arial"/>
                <w:sz w:val="22"/>
                <w:szCs w:val="22"/>
                <w:bdr w:val="nil"/>
                <w:lang w:val="de-DE"/>
              </w:rPr>
              <w:t>stärken</w:t>
            </w:r>
            <w:r>
              <w:rPr>
                <w:rFonts w:ascii="Arial" w:hAnsi="Arial" w:eastAsia="Arial" w:cs="Arial"/>
                <w:sz w:val="22"/>
                <w:szCs w:val="22"/>
                <w:bdr w:val="nil"/>
                <w:lang w:val="de-DE"/>
              </w:rPr>
              <w:t xml:space="preserve"> und auszuweiten, diese Verpflichtungen zu erfüllen und </w:t>
            </w:r>
            <w:r w:rsidR="00327435">
              <w:rPr>
                <w:rFonts w:ascii="Arial" w:hAnsi="Arial" w:eastAsia="Arial" w:cs="Arial"/>
                <w:sz w:val="22"/>
                <w:szCs w:val="22"/>
                <w:bdr w:val="nil"/>
                <w:lang w:val="de-DE"/>
              </w:rPr>
              <w:t>über diese hinauszugehen</w:t>
            </w:r>
            <w:r>
              <w:rPr>
                <w:rFonts w:ascii="Arial" w:hAnsi="Arial" w:eastAsia="Arial" w:cs="Arial"/>
                <w:sz w:val="22"/>
                <w:szCs w:val="22"/>
                <w:bdr w:val="nil"/>
                <w:lang w:val="de-DE"/>
              </w:rPr>
              <w:t xml:space="preserve">, indem </w:t>
            </w:r>
            <w:r w:rsidR="00327435">
              <w:rPr>
                <w:rFonts w:ascii="Arial" w:hAnsi="Arial" w:eastAsia="Arial" w:cs="Arial"/>
                <w:sz w:val="22"/>
                <w:szCs w:val="22"/>
                <w:bdr w:val="nil"/>
                <w:lang w:val="de-DE"/>
              </w:rPr>
              <w:t>sie wirksame</w:t>
            </w:r>
            <w:r>
              <w:rPr>
                <w:rFonts w:ascii="Arial" w:hAnsi="Arial" w:eastAsia="Arial" w:cs="Arial"/>
                <w:sz w:val="22"/>
                <w:szCs w:val="22"/>
                <w:bdr w:val="nil"/>
                <w:lang w:val="de-DE"/>
              </w:rPr>
              <w:t xml:space="preserve"> Gleichheits- und </w:t>
            </w:r>
            <w:r w:rsidR="00742C0D">
              <w:rPr>
                <w:rFonts w:ascii="Arial" w:hAnsi="Arial" w:eastAsia="Arial" w:cs="Arial"/>
                <w:sz w:val="22"/>
                <w:szCs w:val="22"/>
                <w:bdr w:val="nil"/>
                <w:lang w:val="de-DE"/>
              </w:rPr>
              <w:t>Diversitäts</w:t>
            </w:r>
            <w:r>
              <w:rPr>
                <w:rFonts w:ascii="Arial" w:hAnsi="Arial" w:eastAsia="Arial" w:cs="Arial"/>
                <w:sz w:val="22"/>
                <w:szCs w:val="22"/>
                <w:bdr w:val="nil"/>
                <w:lang w:val="de-DE"/>
              </w:rPr>
              <w:t>sys</w:t>
            </w:r>
            <w:r w:rsidR="00017082">
              <w:rPr>
                <w:rFonts w:ascii="Arial" w:hAnsi="Arial" w:eastAsia="Arial" w:cs="Arial"/>
                <w:sz w:val="22"/>
                <w:szCs w:val="22"/>
                <w:bdr w:val="nil"/>
                <w:lang w:val="de-DE"/>
              </w:rPr>
              <w:t>teme einricht</w:t>
            </w:r>
            <w:r w:rsidR="00327435">
              <w:rPr>
                <w:rFonts w:ascii="Arial" w:hAnsi="Arial" w:eastAsia="Arial" w:cs="Arial"/>
                <w:sz w:val="22"/>
                <w:szCs w:val="22"/>
                <w:bdr w:val="nil"/>
                <w:lang w:val="de-DE"/>
              </w:rPr>
              <w:t>e</w:t>
            </w:r>
            <w:r w:rsidR="00017082">
              <w:rPr>
                <w:rFonts w:ascii="Arial" w:hAnsi="Arial" w:eastAsia="Arial" w:cs="Arial"/>
                <w:sz w:val="22"/>
                <w:szCs w:val="22"/>
                <w:bdr w:val="nil"/>
                <w:lang w:val="de-DE"/>
              </w:rPr>
              <w:t>n; (iii) </w:t>
            </w:r>
            <w:r>
              <w:rPr>
                <w:rFonts w:ascii="Arial" w:hAnsi="Arial" w:eastAsia="Arial" w:cs="Arial"/>
                <w:sz w:val="22"/>
                <w:szCs w:val="22"/>
                <w:bdr w:val="nil"/>
                <w:lang w:val="de-DE"/>
              </w:rPr>
              <w:t xml:space="preserve">Gruppen, die Diskriminierung und Intoleranz ausgesetzt sind, um diese über ihre Rechte aufzuklären und </w:t>
            </w:r>
            <w:r w:rsidR="00742C0D">
              <w:rPr>
                <w:rFonts w:ascii="Arial" w:hAnsi="Arial" w:eastAsia="Arial" w:cs="Arial"/>
                <w:sz w:val="22"/>
                <w:szCs w:val="22"/>
                <w:bdr w:val="nil"/>
                <w:lang w:val="de-DE"/>
              </w:rPr>
              <w:t xml:space="preserve">um bei ihnen </w:t>
            </w:r>
            <w:r>
              <w:rPr>
                <w:rFonts w:ascii="Arial" w:hAnsi="Arial" w:eastAsia="Arial" w:cs="Arial"/>
                <w:sz w:val="22"/>
                <w:szCs w:val="22"/>
                <w:bdr w:val="nil"/>
                <w:lang w:val="de-DE"/>
              </w:rPr>
              <w:t>das erforderliche Vertrauen, Selbstbewusstsein und die erforderliche</w:t>
            </w:r>
            <w:r w:rsidR="005B43FD">
              <w:rPr>
                <w:rFonts w:ascii="Arial" w:hAnsi="Arial" w:eastAsia="Arial" w:cs="Arial"/>
                <w:sz w:val="22"/>
                <w:szCs w:val="22"/>
                <w:bdr w:val="nil"/>
                <w:lang w:val="de-DE"/>
              </w:rPr>
              <w:t>n</w:t>
            </w:r>
            <w:r>
              <w:rPr>
                <w:rFonts w:ascii="Arial" w:hAnsi="Arial" w:eastAsia="Arial" w:cs="Arial"/>
                <w:sz w:val="22"/>
                <w:szCs w:val="22"/>
                <w:bdr w:val="nil"/>
                <w:lang w:val="de-DE"/>
              </w:rPr>
              <w:t xml:space="preserve"> </w:t>
            </w:r>
            <w:r w:rsidR="00327435">
              <w:rPr>
                <w:rFonts w:ascii="Arial" w:hAnsi="Arial" w:eastAsia="Arial" w:cs="Arial"/>
                <w:sz w:val="22"/>
                <w:szCs w:val="22"/>
                <w:bdr w:val="nil"/>
                <w:lang w:val="de-DE"/>
              </w:rPr>
              <w:t>Fähigkeit</w:t>
            </w:r>
            <w:r w:rsidR="005B43FD">
              <w:rPr>
                <w:rFonts w:ascii="Arial" w:hAnsi="Arial" w:eastAsia="Arial" w:cs="Arial"/>
                <w:sz w:val="22"/>
                <w:szCs w:val="22"/>
                <w:bdr w:val="nil"/>
                <w:lang w:val="de-DE"/>
              </w:rPr>
              <w:t>en</w:t>
            </w:r>
            <w:r w:rsidR="00327435">
              <w:rPr>
                <w:rFonts w:ascii="Arial" w:hAnsi="Arial" w:eastAsia="Arial" w:cs="Arial"/>
                <w:sz w:val="22"/>
                <w:szCs w:val="22"/>
                <w:bdr w:val="nil"/>
                <w:lang w:val="de-DE"/>
              </w:rPr>
              <w:t xml:space="preserve"> </w:t>
            </w:r>
            <w:r>
              <w:rPr>
                <w:rFonts w:ascii="Arial" w:hAnsi="Arial" w:eastAsia="Arial" w:cs="Arial"/>
                <w:sz w:val="22"/>
                <w:szCs w:val="22"/>
                <w:bdr w:val="nil"/>
                <w:lang w:val="de-DE"/>
              </w:rPr>
              <w:t>au</w:t>
            </w:r>
            <w:r w:rsidR="005B43FD">
              <w:rPr>
                <w:rFonts w:ascii="Arial" w:hAnsi="Arial" w:eastAsia="Arial" w:cs="Arial"/>
                <w:sz w:val="22"/>
                <w:szCs w:val="22"/>
                <w:bdr w:val="nil"/>
                <w:lang w:val="de-DE"/>
              </w:rPr>
              <w:t>f</w:t>
            </w:r>
            <w:r>
              <w:rPr>
                <w:rFonts w:ascii="Arial" w:hAnsi="Arial" w:eastAsia="Arial" w:cs="Arial"/>
                <w:sz w:val="22"/>
                <w:szCs w:val="22"/>
                <w:bdr w:val="nil"/>
                <w:lang w:val="de-DE"/>
              </w:rPr>
              <w:t xml:space="preserve">zubauen, die </w:t>
            </w:r>
            <w:r w:rsidR="005B43FD">
              <w:rPr>
                <w:rFonts w:ascii="Arial" w:hAnsi="Arial" w:eastAsia="Arial" w:cs="Arial"/>
                <w:sz w:val="22"/>
                <w:szCs w:val="22"/>
                <w:bdr w:val="nil"/>
                <w:lang w:val="de-DE"/>
              </w:rPr>
              <w:t>sie in die Lage versetz</w:t>
            </w:r>
            <w:r w:rsidR="00742C0D">
              <w:rPr>
                <w:rFonts w:ascii="Arial" w:hAnsi="Arial" w:eastAsia="Arial" w:cs="Arial"/>
                <w:sz w:val="22"/>
                <w:szCs w:val="22"/>
                <w:bdr w:val="nil"/>
                <w:lang w:val="de-DE"/>
              </w:rPr>
              <w:t>en</w:t>
            </w:r>
            <w:r w:rsidR="00327435">
              <w:rPr>
                <w:rFonts w:ascii="Arial" w:hAnsi="Arial" w:eastAsia="Arial" w:cs="Arial"/>
                <w:sz w:val="22"/>
                <w:szCs w:val="22"/>
                <w:bdr w:val="nil"/>
                <w:lang w:val="de-DE"/>
              </w:rPr>
              <w:t>, ihre Rechte wahrzunehmen</w:t>
            </w:r>
            <w:r>
              <w:rPr>
                <w:rFonts w:ascii="Arial" w:hAnsi="Arial" w:eastAsia="Arial" w:cs="Arial"/>
                <w:sz w:val="22"/>
                <w:szCs w:val="22"/>
                <w:bdr w:val="nil"/>
                <w:lang w:val="de-DE"/>
              </w:rPr>
              <w:t>.</w:t>
            </w:r>
          </w:p>
        </w:tc>
      </w:tr>
      <w:tr w:rsidRPr="00046FAE" w:rsidR="00D8651C" w:rsidTr="00C0685F" w14:paraId="395B1F0C" w14:textId="77777777">
        <w:tc>
          <w:tcPr>
            <w:tcW w:w="10112" w:type="dxa"/>
            <w:gridSpan w:val="2"/>
          </w:tcPr>
          <w:p w:rsidRPr="006353CB" w:rsidR="00DD016F" w:rsidP="005B4190" w:rsidRDefault="00D4725B" w14:paraId="0CF5C6AA" w14:textId="7DBB3C9F">
            <w:pPr>
              <w:tabs>
                <w:tab w:val="left" w:pos="3828"/>
              </w:tabs>
              <w:spacing w:before="100" w:beforeAutospacing="1" w:after="100" w:afterAutospacing="1" w:line="240" w:lineRule="exact"/>
              <w:jc w:val="both"/>
              <w:rPr>
                <w:rFonts w:ascii="Arial" w:hAnsi="Arial" w:cs="Arial"/>
                <w:i/>
                <w:sz w:val="22"/>
                <w:szCs w:val="22"/>
              </w:rPr>
            </w:pPr>
            <w:bookmarkStart w:name="_Ref476304960" w:id="57"/>
            <w:r>
              <w:rPr>
                <w:rFonts w:ascii="Arial" w:hAnsi="Arial" w:eastAsia="Arial" w:cs="Arial"/>
                <w:i/>
                <w:iCs/>
                <w:sz w:val="22"/>
                <w:szCs w:val="22"/>
                <w:bdr w:val="nil"/>
                <w:lang w:val="de-DE"/>
              </w:rPr>
              <w:lastRenderedPageBreak/>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_Ref486587365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35</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_Ref486587374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36</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D41099" w:rsidRDefault="0078680C" w14:paraId="4BD31DEE" w14:textId="3238702E">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bookmarkStart w:name="_Ref478552069" w:id="58"/>
            <w:r>
              <w:rPr>
                <w:rFonts w:ascii="Arial" w:hAnsi="Arial" w:eastAsia="Arial" w:cs="Arial"/>
                <w:sz w:val="22"/>
                <w:szCs w:val="22"/>
                <w:bdr w:val="nil"/>
                <w:lang w:val="de-DE"/>
              </w:rPr>
              <w:t xml:space="preserve">Legislative, Exekutive und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327435">
              <w:rPr>
                <w:rFonts w:ascii="Arial" w:hAnsi="Arial" w:eastAsia="Arial" w:cs="Arial"/>
                <w:sz w:val="22"/>
                <w:szCs w:val="22"/>
                <w:bdr w:val="nil"/>
                <w:lang w:val="de-DE"/>
              </w:rPr>
              <w:t xml:space="preserve">haben </w:t>
            </w:r>
            <w:r>
              <w:rPr>
                <w:rFonts w:ascii="Arial" w:hAnsi="Arial" w:eastAsia="Arial" w:cs="Arial"/>
                <w:sz w:val="22"/>
                <w:szCs w:val="22"/>
                <w:bdr w:val="nil"/>
                <w:lang w:val="de-DE"/>
              </w:rPr>
              <w:t xml:space="preserve">alle </w:t>
            </w:r>
            <w:r w:rsidR="00327435">
              <w:rPr>
                <w:rFonts w:ascii="Arial" w:hAnsi="Arial" w:eastAsia="Arial" w:cs="Arial"/>
                <w:sz w:val="22"/>
                <w:szCs w:val="22"/>
                <w:bdr w:val="nil"/>
                <w:lang w:val="de-DE"/>
              </w:rPr>
              <w:t xml:space="preserve">eine </w:t>
            </w:r>
            <w:r>
              <w:rPr>
                <w:rFonts w:ascii="Arial" w:hAnsi="Arial" w:eastAsia="Arial" w:cs="Arial"/>
                <w:sz w:val="22"/>
                <w:szCs w:val="22"/>
                <w:bdr w:val="nil"/>
                <w:lang w:val="de-DE"/>
              </w:rPr>
              <w:t>wichtige Rolle bei der Förderung und Erreich</w:t>
            </w:r>
            <w:r w:rsidR="00327435">
              <w:rPr>
                <w:rFonts w:ascii="Arial" w:hAnsi="Arial" w:eastAsia="Arial" w:cs="Arial"/>
                <w:sz w:val="22"/>
                <w:szCs w:val="22"/>
                <w:bdr w:val="nil"/>
                <w:lang w:val="de-DE"/>
              </w:rPr>
              <w:t>ung</w:t>
            </w:r>
            <w:r>
              <w:rPr>
                <w:rFonts w:ascii="Arial" w:hAnsi="Arial" w:eastAsia="Arial" w:cs="Arial"/>
                <w:sz w:val="22"/>
                <w:szCs w:val="22"/>
                <w:bdr w:val="nil"/>
                <w:lang w:val="de-DE"/>
              </w:rPr>
              <w:t xml:space="preserve"> von Gleichheit und der </w:t>
            </w:r>
            <w:r w:rsidR="00327435">
              <w:rPr>
                <w:rFonts w:ascii="Arial" w:hAnsi="Arial" w:eastAsia="Arial" w:cs="Arial"/>
                <w:sz w:val="22"/>
                <w:szCs w:val="22"/>
                <w:bdr w:val="nil"/>
                <w:lang w:val="de-DE"/>
              </w:rPr>
              <w:t xml:space="preserve">Prävention </w:t>
            </w:r>
            <w:r>
              <w:rPr>
                <w:rFonts w:ascii="Arial" w:hAnsi="Arial" w:eastAsia="Arial" w:cs="Arial"/>
                <w:sz w:val="22"/>
                <w:szCs w:val="22"/>
                <w:bdr w:val="nil"/>
                <w:lang w:val="de-DE"/>
              </w:rPr>
              <w:t xml:space="preserve">und Bekämpfung von Diskriminierung und Intoleranz. Um </w:t>
            </w:r>
            <w:r w:rsidR="00DA4D0C">
              <w:rPr>
                <w:rFonts w:ascii="Arial" w:hAnsi="Arial" w:eastAsia="Arial" w:cs="Arial"/>
                <w:sz w:val="22"/>
                <w:szCs w:val="22"/>
                <w:bdr w:val="nil"/>
                <w:lang w:val="de-DE"/>
              </w:rPr>
              <w:t xml:space="preserve">den </w:t>
            </w:r>
            <w:r>
              <w:rPr>
                <w:rFonts w:ascii="Arial" w:hAnsi="Arial" w:eastAsia="Arial" w:cs="Arial"/>
                <w:sz w:val="22"/>
                <w:szCs w:val="22"/>
                <w:bdr w:val="nil"/>
                <w:lang w:val="de-DE"/>
              </w:rPr>
              <w:t xml:space="preserve">Fortschritt in Bezug auf diese gemeinsamen Ziele zu maximieren,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regelmäßig </w:t>
            </w:r>
            <w:r w:rsidR="00742C0D">
              <w:rPr>
                <w:rFonts w:ascii="Arial" w:hAnsi="Arial" w:eastAsia="Arial" w:cs="Arial"/>
                <w:sz w:val="22"/>
                <w:szCs w:val="22"/>
                <w:bdr w:val="nil"/>
                <w:lang w:val="de-DE"/>
              </w:rPr>
              <w:t xml:space="preserve">auf höchster Ebene </w:t>
            </w:r>
            <w:r w:rsidR="00DA4D0C">
              <w:rPr>
                <w:rFonts w:ascii="Arial" w:hAnsi="Arial" w:eastAsia="Arial" w:cs="Arial"/>
                <w:sz w:val="22"/>
                <w:szCs w:val="22"/>
                <w:bdr w:val="nil"/>
                <w:lang w:val="de-DE"/>
              </w:rPr>
              <w:t xml:space="preserve">Kernthemen und die Umsetzung von Empfehlungen </w:t>
            </w:r>
            <w:r w:rsidRPr="00742C0D" w:rsidR="00742C0D">
              <w:rPr>
                <w:rFonts w:ascii="Arial" w:hAnsi="Arial" w:eastAsia="Arial" w:cs="Arial"/>
                <w:sz w:val="22"/>
                <w:szCs w:val="22"/>
                <w:bdr w:val="nil"/>
                <w:lang w:val="de-DE"/>
              </w:rPr>
              <w:t xml:space="preserve">mit Entscheidungsträgern der Legislative und Exekutive </w:t>
            </w:r>
            <w:r w:rsidR="00DA4D0C">
              <w:rPr>
                <w:rFonts w:ascii="Arial" w:hAnsi="Arial" w:eastAsia="Arial" w:cs="Arial"/>
                <w:sz w:val="22"/>
                <w:szCs w:val="22"/>
                <w:bdr w:val="nil"/>
                <w:lang w:val="de-DE"/>
              </w:rPr>
              <w:t>diskutieren</w:t>
            </w:r>
            <w:r>
              <w:rPr>
                <w:rFonts w:ascii="Arial" w:hAnsi="Arial" w:eastAsia="Arial" w:cs="Arial"/>
                <w:sz w:val="22"/>
                <w:szCs w:val="22"/>
                <w:bdr w:val="nil"/>
                <w:lang w:val="de-DE"/>
              </w:rPr>
              <w:t xml:space="preserve">. Jahres-, themenbezogene und andere Berichte und die in ihnen enthaltenen Empfehlungen sind eine hervorragende Grundlage für diesen regelmäßigen Austausch. </w:t>
            </w:r>
            <w:r w:rsidR="00DA4D0C">
              <w:rPr>
                <w:rFonts w:ascii="Arial" w:hAnsi="Arial" w:eastAsia="Arial" w:cs="Arial"/>
                <w:sz w:val="22"/>
                <w:szCs w:val="22"/>
                <w:bdr w:val="nil"/>
                <w:lang w:val="de-DE"/>
              </w:rPr>
              <w:t>Der</w:t>
            </w:r>
            <w:r>
              <w:rPr>
                <w:rFonts w:ascii="Arial" w:hAnsi="Arial" w:eastAsia="Arial" w:cs="Arial"/>
                <w:sz w:val="22"/>
                <w:szCs w:val="22"/>
                <w:bdr w:val="nil"/>
                <w:lang w:val="de-DE"/>
              </w:rPr>
              <w:t xml:space="preserve"> erforderliche institutionelle Rahmen für diese Zusammenarbeit</w:t>
            </w:r>
            <w:r w:rsidR="00DA4D0C">
              <w:rPr>
                <w:rFonts w:ascii="Arial" w:hAnsi="Arial" w:eastAsia="Arial" w:cs="Arial"/>
                <w:sz w:val="22"/>
                <w:szCs w:val="22"/>
                <w:bdr w:val="nil"/>
                <w:lang w:val="de-DE"/>
              </w:rPr>
              <w:t xml:space="preserve"> </w:t>
            </w:r>
            <w:r w:rsidR="00742C0D">
              <w:rPr>
                <w:rFonts w:ascii="Arial" w:hAnsi="Arial" w:eastAsia="Arial" w:cs="Arial"/>
                <w:sz w:val="22"/>
                <w:szCs w:val="22"/>
                <w:bdr w:val="nil"/>
                <w:lang w:val="de-DE"/>
              </w:rPr>
              <w:t>kann</w:t>
            </w:r>
            <w:r w:rsidR="00DA4D0C">
              <w:rPr>
                <w:rFonts w:ascii="Arial" w:hAnsi="Arial" w:eastAsia="Arial" w:cs="Arial"/>
                <w:sz w:val="22"/>
                <w:szCs w:val="22"/>
                <w:bdr w:val="nil"/>
                <w:lang w:val="de-DE"/>
              </w:rPr>
              <w:t xml:space="preserve"> dadurch geschaffen</w:t>
            </w:r>
            <w:r w:rsidR="00742C0D">
              <w:rPr>
                <w:rFonts w:ascii="Arial" w:hAnsi="Arial" w:eastAsia="Arial" w:cs="Arial"/>
                <w:sz w:val="22"/>
                <w:szCs w:val="22"/>
                <w:bdr w:val="nil"/>
                <w:lang w:val="de-DE"/>
              </w:rPr>
              <w:t xml:space="preserve"> werden</w:t>
            </w:r>
            <w:r w:rsidR="00DA4D0C">
              <w:rPr>
                <w:rFonts w:ascii="Arial" w:hAnsi="Arial" w:eastAsia="Arial" w:cs="Arial"/>
                <w:sz w:val="22"/>
                <w:szCs w:val="22"/>
                <w:bdr w:val="nil"/>
                <w:lang w:val="de-DE"/>
              </w:rPr>
              <w:t>, dass</w:t>
            </w:r>
            <w:r w:rsidR="00742C0D">
              <w:rPr>
                <w:rFonts w:ascii="Arial" w:hAnsi="Arial" w:eastAsia="Arial" w:cs="Arial"/>
                <w:sz w:val="22"/>
                <w:szCs w:val="22"/>
                <w:bdr w:val="nil"/>
                <w:lang w:val="de-DE"/>
              </w:rPr>
              <w:t xml:space="preserve"> im Gesetz</w:t>
            </w:r>
            <w:r w:rsidR="00DA4D0C">
              <w:rPr>
                <w:rFonts w:ascii="Arial" w:hAnsi="Arial" w:eastAsia="Arial" w:cs="Arial"/>
                <w:sz w:val="22"/>
                <w:szCs w:val="22"/>
                <w:bdr w:val="nil"/>
                <w:lang w:val="de-DE"/>
              </w:rPr>
              <w:t xml:space="preserve"> zumindest ein jährlicher Dialog mit der Legislative und der Exekutive über den Jahresbericht verankert wird</w:t>
            </w:r>
            <w:r>
              <w:rPr>
                <w:rFonts w:ascii="Arial" w:hAnsi="Arial" w:eastAsia="Arial" w:cs="Arial"/>
                <w:sz w:val="22"/>
                <w:szCs w:val="22"/>
                <w:bdr w:val="nil"/>
                <w:lang w:val="de-DE"/>
              </w:rPr>
              <w:t>.</w:t>
            </w:r>
            <w:bookmarkEnd w:id="57"/>
            <w:bookmarkEnd w:id="58"/>
            <w:r>
              <w:rPr>
                <w:rFonts w:ascii="Arial" w:hAnsi="Arial" w:eastAsia="Arial" w:cs="Arial"/>
                <w:sz w:val="22"/>
                <w:szCs w:val="22"/>
                <w:bdr w:val="nil"/>
                <w:lang w:val="de-DE"/>
              </w:rPr>
              <w:t xml:space="preserve"> </w:t>
            </w:r>
          </w:p>
          <w:p w:rsidRPr="006C29B1" w:rsidR="00DD016F" w:rsidP="002F290F" w:rsidRDefault="0078680C" w14:paraId="7D3019CF" w14:textId="02546F16">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Jahresberichte sollten die </w:t>
            </w:r>
            <w:r w:rsidR="00DA4D0C">
              <w:rPr>
                <w:rFonts w:ascii="Arial" w:hAnsi="Arial" w:eastAsia="Arial" w:cs="Arial"/>
                <w:sz w:val="22"/>
                <w:szCs w:val="22"/>
                <w:bdr w:val="nil"/>
                <w:lang w:val="de-DE"/>
              </w:rPr>
              <w:t>Kern</w:t>
            </w:r>
            <w:r w:rsidR="00742C0D">
              <w:rPr>
                <w:rFonts w:ascii="Arial" w:hAnsi="Arial" w:eastAsia="Arial" w:cs="Arial"/>
                <w:sz w:val="22"/>
                <w:szCs w:val="22"/>
                <w:bdr w:val="nil"/>
                <w:lang w:val="de-DE"/>
              </w:rPr>
              <w:t>probleme</w:t>
            </w:r>
            <w:r w:rsidR="00DA4D0C">
              <w:rPr>
                <w:rFonts w:ascii="Arial" w:hAnsi="Arial" w:eastAsia="Arial" w:cs="Arial"/>
                <w:sz w:val="22"/>
                <w:szCs w:val="22"/>
                <w:bdr w:val="nil"/>
                <w:lang w:val="de-DE"/>
              </w:rPr>
              <w:t xml:space="preserve"> </w:t>
            </w:r>
            <w:r w:rsidR="00742C0D">
              <w:rPr>
                <w:rFonts w:ascii="Arial" w:hAnsi="Arial" w:eastAsia="Arial" w:cs="Arial"/>
                <w:sz w:val="22"/>
                <w:szCs w:val="22"/>
                <w:bdr w:val="nil"/>
                <w:lang w:val="de-DE"/>
              </w:rPr>
              <w:t>herausstellen</w:t>
            </w:r>
            <w:r>
              <w:rPr>
                <w:rFonts w:ascii="Arial" w:hAnsi="Arial" w:eastAsia="Arial" w:cs="Arial"/>
                <w:sz w:val="22"/>
                <w:szCs w:val="22"/>
                <w:bdr w:val="nil"/>
                <w:lang w:val="de-DE"/>
              </w:rPr>
              <w:t xml:space="preserve">, die im Hinblick auf Gleichheit, Diskriminierung und Intoleranz </w:t>
            </w:r>
            <w:r w:rsidR="00742C0D">
              <w:rPr>
                <w:rFonts w:ascii="Arial" w:hAnsi="Arial" w:eastAsia="Arial" w:cs="Arial"/>
                <w:sz w:val="22"/>
                <w:szCs w:val="22"/>
                <w:bdr w:val="nil"/>
                <w:lang w:val="de-DE"/>
              </w:rPr>
              <w:t>existieren</w:t>
            </w:r>
            <w:r>
              <w:rPr>
                <w:rFonts w:ascii="Arial" w:hAnsi="Arial" w:eastAsia="Arial" w:cs="Arial"/>
                <w:sz w:val="22"/>
                <w:szCs w:val="22"/>
                <w:bdr w:val="nil"/>
                <w:lang w:val="de-DE"/>
              </w:rPr>
              <w:t xml:space="preserve">, und die Empfehlungen </w:t>
            </w:r>
            <w:r w:rsidR="00DA4D0C">
              <w:rPr>
                <w:rFonts w:ascii="Arial" w:hAnsi="Arial" w:eastAsia="Arial" w:cs="Arial"/>
                <w:sz w:val="22"/>
                <w:szCs w:val="22"/>
                <w:bdr w:val="nil"/>
                <w:lang w:val="de-DE"/>
              </w:rPr>
              <w:t xml:space="preserve">der Gleichheitsstelle </w:t>
            </w:r>
            <w:r>
              <w:rPr>
                <w:rFonts w:ascii="Arial" w:hAnsi="Arial" w:eastAsia="Arial" w:cs="Arial"/>
                <w:sz w:val="22"/>
                <w:szCs w:val="22"/>
                <w:bdr w:val="nil"/>
                <w:lang w:val="de-DE"/>
              </w:rPr>
              <w:t xml:space="preserve"> </w:t>
            </w:r>
            <w:r w:rsidR="00742C0D">
              <w:rPr>
                <w:rFonts w:ascii="Arial" w:hAnsi="Arial" w:eastAsia="Arial" w:cs="Arial"/>
                <w:sz w:val="22"/>
                <w:szCs w:val="22"/>
                <w:bdr w:val="nil"/>
                <w:lang w:val="de-DE"/>
              </w:rPr>
              <w:t>aufführen</w:t>
            </w:r>
            <w:r>
              <w:rPr>
                <w:rFonts w:ascii="Arial" w:hAnsi="Arial" w:eastAsia="Arial" w:cs="Arial"/>
                <w:sz w:val="22"/>
                <w:szCs w:val="22"/>
                <w:bdr w:val="nil"/>
                <w:lang w:val="de-DE"/>
              </w:rPr>
              <w:t xml:space="preserve">. Sie sollten außerdem die Tätigkeit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und die daraus resultierenden Ergebnisse </w:t>
            </w:r>
            <w:r w:rsidR="00742C0D">
              <w:rPr>
                <w:rFonts w:ascii="Arial" w:hAnsi="Arial" w:eastAsia="Arial" w:cs="Arial"/>
                <w:sz w:val="22"/>
                <w:szCs w:val="22"/>
                <w:bdr w:val="nil"/>
                <w:lang w:val="de-DE"/>
              </w:rPr>
              <w:t>darstellen</w:t>
            </w:r>
            <w:r>
              <w:rPr>
                <w:rFonts w:ascii="Arial" w:hAnsi="Arial" w:eastAsia="Arial" w:cs="Arial"/>
                <w:sz w:val="22"/>
                <w:szCs w:val="22"/>
                <w:bdr w:val="nil"/>
                <w:lang w:val="de-DE"/>
              </w:rPr>
              <w:t xml:space="preserve">, einschließlich </w:t>
            </w:r>
            <w:r w:rsidR="00DA4D0C">
              <w:rPr>
                <w:rFonts w:ascii="Arial" w:hAnsi="Arial" w:eastAsia="Arial" w:cs="Arial"/>
                <w:sz w:val="22"/>
                <w:szCs w:val="22"/>
                <w:bdr w:val="nil"/>
                <w:lang w:val="de-DE"/>
              </w:rPr>
              <w:t>disaggregierter</w:t>
            </w:r>
            <w:r>
              <w:rPr>
                <w:rFonts w:ascii="Arial" w:hAnsi="Arial" w:eastAsia="Arial" w:cs="Arial"/>
                <w:sz w:val="22"/>
                <w:szCs w:val="22"/>
                <w:bdr w:val="nil"/>
                <w:lang w:val="de-DE"/>
              </w:rPr>
              <w:t xml:space="preserve"> Daten über </w:t>
            </w:r>
            <w:r w:rsidR="0049113F">
              <w:rPr>
                <w:rFonts w:ascii="Arial" w:hAnsi="Arial" w:eastAsia="Arial" w:cs="Arial"/>
                <w:sz w:val="22"/>
                <w:szCs w:val="22"/>
                <w:bdr w:val="nil"/>
                <w:lang w:val="de-DE"/>
              </w:rPr>
              <w:t>die Diskriminierungsb</w:t>
            </w:r>
            <w:r>
              <w:rPr>
                <w:rFonts w:ascii="Arial" w:hAnsi="Arial" w:eastAsia="Arial" w:cs="Arial"/>
                <w:sz w:val="22"/>
                <w:szCs w:val="22"/>
                <w:bdr w:val="nil"/>
                <w:lang w:val="de-DE"/>
              </w:rPr>
              <w:t xml:space="preserve">eschwerden und deren </w:t>
            </w:r>
            <w:r w:rsidR="0049113F">
              <w:rPr>
                <w:rFonts w:ascii="Arial" w:hAnsi="Arial" w:eastAsia="Arial" w:cs="Arial"/>
                <w:sz w:val="22"/>
                <w:szCs w:val="22"/>
                <w:bdr w:val="nil"/>
                <w:lang w:val="de-DE"/>
              </w:rPr>
              <w:t>Resultate</w:t>
            </w:r>
            <w:r>
              <w:rPr>
                <w:rFonts w:ascii="Arial" w:hAnsi="Arial" w:eastAsia="Arial" w:cs="Arial"/>
                <w:sz w:val="22"/>
                <w:szCs w:val="22"/>
                <w:bdr w:val="nil"/>
                <w:lang w:val="de-DE"/>
              </w:rPr>
              <w:t>.</w:t>
            </w:r>
          </w:p>
        </w:tc>
      </w:tr>
      <w:tr w:rsidR="00D8651C" w:rsidTr="00C0685F" w14:paraId="0BC3D7D7" w14:textId="77777777">
        <w:tc>
          <w:tcPr>
            <w:tcW w:w="10112" w:type="dxa"/>
            <w:gridSpan w:val="2"/>
          </w:tcPr>
          <w:p w:rsidRPr="006353CB" w:rsidR="00DD016F" w:rsidP="002F290F" w:rsidRDefault="0078680C" w14:paraId="77C2EB25" w14:textId="13A5F7C8">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en-GB"/>
              </w:rPr>
            </w:pPr>
            <w:r>
              <w:rPr>
                <w:rFonts w:ascii="Arial" w:hAnsi="Arial" w:eastAsia="Arial" w:cs="Arial"/>
                <w:sz w:val="22"/>
                <w:szCs w:val="22"/>
                <w:bdr w:val="nil"/>
                <w:lang w:val="de-DE"/>
              </w:rPr>
              <w:t xml:space="preserve">Behörden </w:t>
            </w:r>
            <w:r w:rsidR="00CA0BE1">
              <w:rPr>
                <w:rFonts w:ascii="Arial" w:hAnsi="Arial" w:eastAsia="Arial" w:cs="Arial"/>
                <w:sz w:val="22"/>
                <w:szCs w:val="22"/>
                <w:bdr w:val="nil"/>
                <w:lang w:val="de-DE"/>
              </w:rPr>
              <w:t>im Allgemeinen</w:t>
            </w:r>
            <w:r>
              <w:rPr>
                <w:rFonts w:ascii="Arial" w:hAnsi="Arial" w:eastAsia="Arial" w:cs="Arial"/>
                <w:sz w:val="22"/>
                <w:szCs w:val="22"/>
                <w:bdr w:val="nil"/>
                <w:lang w:val="de-DE"/>
              </w:rPr>
              <w:t xml:space="preserve"> und nicht nur die in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C0685F">
              <w:rPr>
                <w:rFonts w:ascii="Arial" w:hAnsi="Arial"/>
                <w:sz w:val="22"/>
                <w:lang w:val="de-DE"/>
              </w:rPr>
              <w:instrText xml:space="preserve"> REF _Ref478552069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111</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des Begründungstextes genannt</w:t>
            </w:r>
            <w:r w:rsidR="00CA0BE1">
              <w:rPr>
                <w:rFonts w:ascii="Arial" w:hAnsi="Arial" w:eastAsia="Arial" w:cs="Arial"/>
                <w:sz w:val="22"/>
                <w:szCs w:val="22"/>
                <w:bdr w:val="nil"/>
                <w:lang w:val="de-DE"/>
              </w:rPr>
              <w:t>en Entscheidungsträger der höchsten Ebene sollten in</w:t>
            </w:r>
            <w:r>
              <w:rPr>
                <w:rFonts w:ascii="Arial" w:hAnsi="Arial" w:eastAsia="Arial" w:cs="Arial"/>
                <w:sz w:val="22"/>
                <w:szCs w:val="22"/>
                <w:bdr w:val="nil"/>
                <w:lang w:val="de-DE"/>
              </w:rPr>
              <w:t xml:space="preserve"> einen regelmäßigen Dialog mit den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CA0BE1">
              <w:rPr>
                <w:rFonts w:ascii="Arial" w:hAnsi="Arial" w:eastAsia="Arial" w:cs="Arial"/>
                <w:sz w:val="22"/>
                <w:szCs w:val="22"/>
                <w:bdr w:val="nil"/>
                <w:lang w:val="de-DE"/>
              </w:rPr>
              <w:t>treten</w:t>
            </w:r>
            <w:r>
              <w:rPr>
                <w:rFonts w:ascii="Arial" w:hAnsi="Arial" w:eastAsia="Arial" w:cs="Arial"/>
                <w:sz w:val="22"/>
                <w:szCs w:val="22"/>
                <w:bdr w:val="nil"/>
                <w:lang w:val="de-DE"/>
              </w:rPr>
              <w:t xml:space="preserve">. Zu diesem Zweck sollten </w:t>
            </w:r>
            <w:r w:rsidR="00CA0BE1">
              <w:rPr>
                <w:rFonts w:ascii="Arial" w:hAnsi="Arial" w:eastAsia="Arial" w:cs="Arial"/>
                <w:sz w:val="22"/>
                <w:szCs w:val="22"/>
                <w:bdr w:val="nil"/>
                <w:lang w:val="de-DE"/>
              </w:rPr>
              <w:t>Behörden</w:t>
            </w:r>
            <w:r>
              <w:rPr>
                <w:rFonts w:ascii="Arial" w:hAnsi="Arial" w:eastAsia="Arial" w:cs="Arial"/>
                <w:sz w:val="22"/>
                <w:szCs w:val="22"/>
                <w:bdr w:val="nil"/>
                <w:lang w:val="de-DE"/>
              </w:rPr>
              <w:t xml:space="preserve"> </w:t>
            </w:r>
            <w:r w:rsidR="00CA0BE1">
              <w:rPr>
                <w:rFonts w:ascii="Arial" w:hAnsi="Arial" w:eastAsia="Arial" w:cs="Arial"/>
                <w:sz w:val="22"/>
                <w:szCs w:val="22"/>
                <w:bdr w:val="nil"/>
                <w:lang w:val="de-DE"/>
              </w:rPr>
              <w:t xml:space="preserve">Entwürfe für </w:t>
            </w:r>
            <w:r>
              <w:rPr>
                <w:rFonts w:ascii="Arial" w:hAnsi="Arial" w:eastAsia="Arial" w:cs="Arial"/>
                <w:sz w:val="22"/>
                <w:szCs w:val="22"/>
                <w:bdr w:val="nil"/>
                <w:lang w:val="de-DE"/>
              </w:rPr>
              <w:t xml:space="preserve">Gesetze, politische </w:t>
            </w:r>
            <w:r w:rsidR="00CA0BE1">
              <w:rPr>
                <w:rFonts w:ascii="Arial" w:hAnsi="Arial" w:eastAsia="Arial" w:cs="Arial"/>
                <w:sz w:val="22"/>
                <w:szCs w:val="22"/>
                <w:bdr w:val="nil"/>
                <w:lang w:val="de-DE"/>
              </w:rPr>
              <w:t xml:space="preserve">Programme </w:t>
            </w:r>
            <w:r>
              <w:rPr>
                <w:rFonts w:ascii="Arial" w:hAnsi="Arial" w:eastAsia="Arial" w:cs="Arial"/>
                <w:sz w:val="22"/>
                <w:szCs w:val="22"/>
                <w:bdr w:val="nil"/>
                <w:lang w:val="de-DE"/>
              </w:rPr>
              <w:t xml:space="preserve">und </w:t>
            </w:r>
            <w:r w:rsidR="00CA0BE1">
              <w:rPr>
                <w:rFonts w:ascii="Arial" w:hAnsi="Arial" w:eastAsia="Arial" w:cs="Arial"/>
                <w:sz w:val="22"/>
                <w:szCs w:val="22"/>
                <w:bdr w:val="nil"/>
                <w:lang w:val="de-DE"/>
              </w:rPr>
              <w:t>Verwaltungsm</w:t>
            </w:r>
            <w:r>
              <w:rPr>
                <w:rFonts w:ascii="Arial" w:hAnsi="Arial" w:eastAsia="Arial" w:cs="Arial"/>
                <w:sz w:val="22"/>
                <w:szCs w:val="22"/>
                <w:bdr w:val="nil"/>
                <w:lang w:val="de-DE"/>
              </w:rPr>
              <w:t xml:space="preserve">aßnahmen </w:t>
            </w:r>
            <w:r w:rsidR="00CA0BE1">
              <w:rPr>
                <w:rFonts w:ascii="Arial" w:hAnsi="Arial" w:eastAsia="Arial" w:cs="Arial"/>
                <w:sz w:val="22"/>
                <w:szCs w:val="22"/>
                <w:bdr w:val="nil"/>
                <w:lang w:val="de-DE"/>
              </w:rPr>
              <w:t>proaktiv den Gleich</w:t>
            </w:r>
            <w:r w:rsidR="0049113F">
              <w:rPr>
                <w:rFonts w:ascii="Arial" w:hAnsi="Arial" w:eastAsia="Arial" w:cs="Arial"/>
                <w:sz w:val="22"/>
                <w:szCs w:val="22"/>
                <w:bdr w:val="nil"/>
                <w:lang w:val="de-DE"/>
              </w:rPr>
              <w:t>heitss</w:t>
            </w:r>
            <w:r w:rsidR="00CA0BE1">
              <w:rPr>
                <w:rFonts w:ascii="Arial" w:hAnsi="Arial" w:eastAsia="Arial" w:cs="Arial"/>
                <w:sz w:val="22"/>
                <w:szCs w:val="22"/>
                <w:bdr w:val="nil"/>
                <w:lang w:val="de-DE"/>
              </w:rPr>
              <w:t xml:space="preserve">tellen </w:t>
            </w:r>
            <w:r>
              <w:rPr>
                <w:rFonts w:ascii="Arial" w:hAnsi="Arial" w:eastAsia="Arial" w:cs="Arial"/>
                <w:sz w:val="22"/>
                <w:szCs w:val="22"/>
                <w:bdr w:val="nil"/>
                <w:lang w:val="de-DE"/>
              </w:rPr>
              <w:t xml:space="preserve">vorlegen, </w:t>
            </w:r>
            <w:r w:rsidR="00CA0BE1">
              <w:rPr>
                <w:rFonts w:ascii="Arial" w:hAnsi="Arial" w:eastAsia="Arial" w:cs="Arial"/>
                <w:sz w:val="22"/>
                <w:szCs w:val="22"/>
                <w:bdr w:val="nil"/>
                <w:lang w:val="de-DE"/>
              </w:rPr>
              <w:t xml:space="preserve">damit diese </w:t>
            </w:r>
            <w:r>
              <w:rPr>
                <w:rFonts w:ascii="Arial" w:hAnsi="Arial" w:eastAsia="Arial" w:cs="Arial"/>
                <w:sz w:val="22"/>
                <w:szCs w:val="22"/>
                <w:bdr w:val="nil"/>
                <w:lang w:val="de-DE"/>
              </w:rPr>
              <w:t xml:space="preserve">deren Auswirkungen auf Gleichheit und Nichtdiskriminierung </w:t>
            </w:r>
            <w:r w:rsidR="00CA0BE1">
              <w:rPr>
                <w:rFonts w:ascii="Arial" w:hAnsi="Arial" w:eastAsia="Arial" w:cs="Arial"/>
                <w:sz w:val="22"/>
                <w:szCs w:val="22"/>
                <w:bdr w:val="nil"/>
                <w:lang w:val="de-DE"/>
              </w:rPr>
              <w:t>über</w:t>
            </w:r>
            <w:r>
              <w:rPr>
                <w:rFonts w:ascii="Arial" w:hAnsi="Arial" w:eastAsia="Arial" w:cs="Arial"/>
                <w:sz w:val="22"/>
                <w:szCs w:val="22"/>
                <w:bdr w:val="nil"/>
                <w:lang w:val="de-DE"/>
              </w:rPr>
              <w:t>prüfen</w:t>
            </w:r>
            <w:r w:rsidR="00CA0BE1">
              <w:rPr>
                <w:rFonts w:ascii="Arial" w:hAnsi="Arial" w:eastAsia="Arial" w:cs="Arial"/>
                <w:sz w:val="22"/>
                <w:szCs w:val="22"/>
                <w:bdr w:val="nil"/>
                <w:lang w:val="de-DE"/>
              </w:rPr>
              <w:t xml:space="preserve"> können</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ihrerseits mit Kommentaren und Empfehlungen an Behörden herantreten. Behörden sollten für diesen Dialog offen sein. </w:t>
            </w:r>
          </w:p>
        </w:tc>
      </w:tr>
      <w:tr w:rsidRPr="00046FAE" w:rsidR="00D8651C" w:rsidTr="00C0685F" w14:paraId="067E1615" w14:textId="77777777">
        <w:tc>
          <w:tcPr>
            <w:tcW w:w="10112" w:type="dxa"/>
            <w:gridSpan w:val="2"/>
          </w:tcPr>
          <w:p w:rsidRPr="006353CB" w:rsidR="00DD016F" w:rsidP="005B4190" w:rsidRDefault="00786C47" w14:paraId="733C0E12" w14:textId="1C7D7B2A">
            <w:pPr>
              <w:tabs>
                <w:tab w:val="left" w:pos="3828"/>
              </w:tabs>
              <w:spacing w:before="100" w:beforeAutospacing="1" w:after="100" w:afterAutospacing="1" w:line="240" w:lineRule="exact"/>
              <w:jc w:val="both"/>
              <w:rPr>
                <w:rFonts w:ascii="Arial" w:hAnsi="Arial" w:cs="Arial"/>
                <w:i/>
                <w:sz w:val="22"/>
                <w:szCs w:val="22"/>
              </w:rPr>
            </w:pPr>
            <w:bookmarkStart w:name="_Ref476315139" w:id="59"/>
            <w:r>
              <w:rPr>
                <w:rFonts w:ascii="Arial" w:hAnsi="Arial" w:eastAsia="Arial" w:cs="Arial"/>
                <w:i/>
                <w:iCs/>
                <w:sz w:val="22"/>
                <w:szCs w:val="22"/>
                <w:bdr w:val="nil"/>
                <w:lang w:val="de-DE"/>
              </w:rPr>
              <w:t>§ </w:t>
            </w:r>
            <w:r w:rsidR="0078680C">
              <w:rPr>
                <w:rFonts w:ascii="Arial" w:hAnsi="Arial" w:eastAsia="Arial" w:cs="Arial"/>
                <w:i/>
                <w:iCs/>
                <w:sz w:val="22"/>
                <w:szCs w:val="22"/>
                <w:bdr w:val="nil"/>
                <w:lang w:val="de-DE"/>
              </w:rPr>
              <w:t>37 der Empfehlung</w:t>
            </w:r>
          </w:p>
          <w:p w:rsidRPr="006C29B1" w:rsidR="00DD016F" w:rsidP="002F290F" w:rsidRDefault="00781974" w14:paraId="61F4C6DE" w14:textId="1FAC6F53">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bookmarkStart w:name="_Ref490660392" w:id="60"/>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nicht nur externe Netzwerke und Kooperation</w:t>
            </w:r>
            <w:r w:rsidR="0049113F">
              <w:rPr>
                <w:rFonts w:ascii="Arial" w:hAnsi="Arial" w:eastAsia="Arial" w:cs="Arial"/>
                <w:sz w:val="22"/>
                <w:szCs w:val="22"/>
                <w:bdr w:val="nil"/>
                <w:lang w:val="de-DE"/>
              </w:rPr>
              <w:t>en</w:t>
            </w:r>
            <w:r w:rsidR="0078680C">
              <w:rPr>
                <w:rFonts w:ascii="Arial" w:hAnsi="Arial" w:eastAsia="Arial" w:cs="Arial"/>
                <w:sz w:val="22"/>
                <w:szCs w:val="22"/>
                <w:bdr w:val="nil"/>
                <w:lang w:val="de-DE"/>
              </w:rPr>
              <w:t xml:space="preserve"> mit </w:t>
            </w:r>
            <w:r w:rsidR="00B210C0">
              <w:rPr>
                <w:rFonts w:ascii="Arial" w:hAnsi="Arial" w:eastAsia="Arial" w:cs="Arial"/>
                <w:sz w:val="22"/>
                <w:szCs w:val="22"/>
                <w:bdr w:val="nil"/>
                <w:lang w:val="de-DE"/>
              </w:rPr>
              <w:t>Stakeholder</w:t>
            </w:r>
            <w:r w:rsidR="00CA0BE1">
              <w:rPr>
                <w:rFonts w:ascii="Arial" w:hAnsi="Arial" w:eastAsia="Arial" w:cs="Arial"/>
                <w:sz w:val="22"/>
                <w:szCs w:val="22"/>
                <w:bdr w:val="nil"/>
                <w:lang w:val="de-DE"/>
              </w:rPr>
              <w:t>n aufbauen</w:t>
            </w:r>
            <w:r w:rsidR="0078680C">
              <w:rPr>
                <w:rFonts w:ascii="Arial" w:hAnsi="Arial" w:eastAsia="Arial" w:cs="Arial"/>
                <w:sz w:val="22"/>
                <w:szCs w:val="22"/>
                <w:bdr w:val="nil"/>
                <w:lang w:val="de-DE"/>
              </w:rPr>
              <w:t xml:space="preserve"> (siehe </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12b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xml:space="preserve">), sondern </w:t>
            </w:r>
            <w:r w:rsidR="00B210C0">
              <w:rPr>
                <w:rFonts w:ascii="Arial" w:hAnsi="Arial" w:eastAsia="Arial" w:cs="Arial"/>
                <w:sz w:val="22"/>
                <w:szCs w:val="22"/>
                <w:bdr w:val="nil"/>
                <w:lang w:val="de-DE"/>
              </w:rPr>
              <w:t>Stakeholder</w:t>
            </w:r>
            <w:r w:rsidR="00CA0BE1">
              <w:rPr>
                <w:rFonts w:ascii="Arial" w:hAnsi="Arial" w:eastAsia="Arial" w:cs="Arial"/>
                <w:sz w:val="22"/>
                <w:szCs w:val="22"/>
                <w:bdr w:val="nil"/>
                <w:lang w:val="de-DE"/>
              </w:rPr>
              <w:t xml:space="preserve"> - </w:t>
            </w:r>
            <w:r w:rsidR="0078680C">
              <w:rPr>
                <w:rFonts w:ascii="Arial" w:hAnsi="Arial" w:eastAsia="Arial" w:cs="Arial"/>
                <w:sz w:val="22"/>
                <w:szCs w:val="22"/>
                <w:bdr w:val="nil"/>
                <w:lang w:val="de-DE"/>
              </w:rPr>
              <w:t xml:space="preserve">insbesondere Gruppen, die Diskriminierung und Intoleranz ausgesetzt sind, und </w:t>
            </w:r>
            <w:r w:rsidR="00CA0BE1">
              <w:rPr>
                <w:rFonts w:ascii="Arial" w:hAnsi="Arial" w:eastAsia="Arial" w:cs="Arial"/>
                <w:sz w:val="22"/>
                <w:szCs w:val="22"/>
                <w:bdr w:val="nil"/>
                <w:lang w:val="de-DE"/>
              </w:rPr>
              <w:t>O</w:t>
            </w:r>
            <w:r w:rsidR="0078680C">
              <w:rPr>
                <w:rFonts w:ascii="Arial" w:hAnsi="Arial" w:eastAsia="Arial" w:cs="Arial"/>
                <w:sz w:val="22"/>
                <w:szCs w:val="22"/>
                <w:bdr w:val="nil"/>
                <w:lang w:val="de-DE"/>
              </w:rPr>
              <w:t xml:space="preserve">rganisationen </w:t>
            </w:r>
            <w:r w:rsidR="00CA0BE1">
              <w:rPr>
                <w:rFonts w:ascii="Arial" w:hAnsi="Arial" w:eastAsia="Arial" w:cs="Arial"/>
                <w:sz w:val="22"/>
                <w:szCs w:val="22"/>
                <w:bdr w:val="nil"/>
                <w:lang w:val="de-DE"/>
              </w:rPr>
              <w:t xml:space="preserve">die deren Interessen vertreten </w:t>
            </w:r>
            <w:r w:rsidR="0049113F">
              <w:rPr>
                <w:rFonts w:ascii="Arial" w:hAnsi="Arial" w:eastAsia="Arial" w:cs="Arial"/>
                <w:sz w:val="22"/>
                <w:szCs w:val="22"/>
                <w:bdr w:val="nil"/>
                <w:lang w:val="de-DE"/>
              </w:rPr>
              <w:t>–</w:t>
            </w:r>
            <w:r w:rsidR="00CA0BE1">
              <w:rPr>
                <w:rFonts w:ascii="Arial" w:hAnsi="Arial" w:eastAsia="Arial" w:cs="Arial"/>
                <w:sz w:val="22"/>
                <w:szCs w:val="22"/>
                <w:bdr w:val="nil"/>
                <w:lang w:val="de-DE"/>
              </w:rPr>
              <w:t xml:space="preserve"> </w:t>
            </w:r>
            <w:r w:rsidR="0049113F">
              <w:rPr>
                <w:rFonts w:ascii="Arial" w:hAnsi="Arial" w:eastAsia="Arial" w:cs="Arial"/>
                <w:sz w:val="22"/>
                <w:szCs w:val="22"/>
                <w:bdr w:val="nil"/>
                <w:lang w:val="de-DE"/>
              </w:rPr>
              <w:t xml:space="preserve">auch </w:t>
            </w:r>
            <w:r w:rsidR="0078680C">
              <w:rPr>
                <w:rFonts w:ascii="Arial" w:hAnsi="Arial" w:eastAsia="Arial" w:cs="Arial"/>
                <w:sz w:val="22"/>
                <w:szCs w:val="22"/>
                <w:bdr w:val="nil"/>
                <w:lang w:val="de-DE"/>
              </w:rPr>
              <w:t>in ihre eigenen Strukturen und in ihre Arbeit einbeziehen. Ein wertvolles Instrument für die</w:t>
            </w:r>
            <w:r w:rsidR="00CA0BE1">
              <w:rPr>
                <w:rFonts w:ascii="Arial" w:hAnsi="Arial" w:eastAsia="Arial" w:cs="Arial"/>
                <w:sz w:val="22"/>
                <w:szCs w:val="22"/>
                <w:bdr w:val="nil"/>
                <w:lang w:val="de-DE"/>
              </w:rPr>
              <w:t>se</w:t>
            </w:r>
            <w:r w:rsidR="0078680C">
              <w:rPr>
                <w:rFonts w:ascii="Arial" w:hAnsi="Arial" w:eastAsia="Arial" w:cs="Arial"/>
                <w:sz w:val="22"/>
                <w:szCs w:val="22"/>
                <w:bdr w:val="nil"/>
                <w:lang w:val="de-DE"/>
              </w:rPr>
              <w:t xml:space="preserve"> Einbeziehung ist die </w:t>
            </w:r>
            <w:r w:rsidR="0049113F">
              <w:rPr>
                <w:rFonts w:ascii="Arial" w:hAnsi="Arial" w:eastAsia="Arial" w:cs="Arial"/>
                <w:sz w:val="22"/>
                <w:szCs w:val="22"/>
                <w:bdr w:val="nil"/>
                <w:lang w:val="de-DE"/>
              </w:rPr>
              <w:t xml:space="preserve">Errichtung </w:t>
            </w:r>
            <w:r w:rsidR="0078680C">
              <w:rPr>
                <w:rFonts w:ascii="Arial" w:hAnsi="Arial" w:eastAsia="Arial" w:cs="Arial"/>
                <w:sz w:val="22"/>
                <w:szCs w:val="22"/>
                <w:bdr w:val="nil"/>
                <w:lang w:val="de-DE"/>
              </w:rPr>
              <w:t xml:space="preserve">eines </w:t>
            </w:r>
            <w:r w:rsidR="00CA0BE1">
              <w:rPr>
                <w:rFonts w:ascii="Arial" w:hAnsi="Arial" w:eastAsia="Arial" w:cs="Arial"/>
                <w:sz w:val="22"/>
                <w:szCs w:val="22"/>
                <w:bdr w:val="nil"/>
                <w:lang w:val="de-DE"/>
              </w:rPr>
              <w:t>b</w:t>
            </w:r>
            <w:r w:rsidR="0078680C">
              <w:rPr>
                <w:rFonts w:ascii="Arial" w:hAnsi="Arial" w:eastAsia="Arial" w:cs="Arial"/>
                <w:sz w:val="22"/>
                <w:szCs w:val="22"/>
                <w:bdr w:val="nil"/>
                <w:lang w:val="de-DE"/>
              </w:rPr>
              <w:t>erat</w:t>
            </w:r>
            <w:r w:rsidR="00CA0BE1">
              <w:rPr>
                <w:rFonts w:ascii="Arial" w:hAnsi="Arial" w:eastAsia="Arial" w:cs="Arial"/>
                <w:sz w:val="22"/>
                <w:szCs w:val="22"/>
                <w:bdr w:val="nil"/>
                <w:lang w:val="de-DE"/>
              </w:rPr>
              <w:t>enden A</w:t>
            </w:r>
            <w:r w:rsidR="0078680C">
              <w:rPr>
                <w:rFonts w:ascii="Arial" w:hAnsi="Arial" w:eastAsia="Arial" w:cs="Arial"/>
                <w:sz w:val="22"/>
                <w:szCs w:val="22"/>
                <w:bdr w:val="nil"/>
                <w:lang w:val="de-DE"/>
              </w:rPr>
              <w:t>usschusses</w:t>
            </w:r>
            <w:r w:rsidR="0049113F">
              <w:rPr>
                <w:rFonts w:ascii="Arial" w:hAnsi="Arial" w:eastAsia="Arial" w:cs="Arial"/>
                <w:sz w:val="22"/>
                <w:szCs w:val="22"/>
                <w:bdr w:val="nil"/>
                <w:lang w:val="de-DE"/>
              </w:rPr>
              <w:t>, der aus</w:t>
            </w:r>
            <w:r w:rsidR="0078680C">
              <w:rPr>
                <w:rFonts w:ascii="Arial" w:hAnsi="Arial" w:eastAsia="Arial" w:cs="Arial"/>
                <w:sz w:val="22"/>
                <w:szCs w:val="22"/>
                <w:bdr w:val="nil"/>
                <w:lang w:val="de-DE"/>
              </w:rPr>
              <w:t xml:space="preserve"> Mitglieder</w:t>
            </w:r>
            <w:r w:rsidR="00CA0BE1">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diese</w:t>
            </w:r>
            <w:r w:rsidR="00CA0BE1">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Gruppen und Organisationen</w:t>
            </w:r>
            <w:r w:rsidR="0049113F">
              <w:rPr>
                <w:rFonts w:ascii="Arial" w:hAnsi="Arial" w:eastAsia="Arial" w:cs="Arial"/>
                <w:sz w:val="22"/>
                <w:szCs w:val="22"/>
                <w:bdr w:val="nil"/>
                <w:lang w:val="de-DE"/>
              </w:rPr>
              <w:t xml:space="preserve"> besteht, und bei </w:t>
            </w:r>
            <w:r w:rsidR="00CA0BE1">
              <w:rPr>
                <w:rFonts w:ascii="Arial" w:hAnsi="Arial" w:eastAsia="Arial" w:cs="Arial"/>
                <w:sz w:val="22"/>
                <w:szCs w:val="22"/>
                <w:bdr w:val="nil"/>
                <w:lang w:val="de-DE"/>
              </w:rPr>
              <w:t>der</w:t>
            </w:r>
            <w:r w:rsidR="0078680C">
              <w:rPr>
                <w:rFonts w:ascii="Arial" w:hAnsi="Arial" w:eastAsia="Arial" w:cs="Arial"/>
                <w:sz w:val="22"/>
                <w:szCs w:val="22"/>
                <w:bdr w:val="nil"/>
                <w:lang w:val="de-DE"/>
              </w:rPr>
              <w:t xml:space="preserve"> strategische</w:t>
            </w:r>
            <w:r w:rsidR="00CA0BE1">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Planung und </w:t>
            </w:r>
            <w:r w:rsidR="0049113F">
              <w:rPr>
                <w:rFonts w:ascii="Arial" w:hAnsi="Arial" w:eastAsia="Arial" w:cs="Arial"/>
                <w:sz w:val="22"/>
                <w:szCs w:val="22"/>
                <w:bdr w:val="nil"/>
                <w:lang w:val="de-DE"/>
              </w:rPr>
              <w:t xml:space="preserve">dem </w:t>
            </w:r>
            <w:r w:rsidR="00CA0BE1">
              <w:rPr>
                <w:rFonts w:ascii="Arial" w:hAnsi="Arial" w:eastAsia="Arial" w:cs="Arial"/>
                <w:sz w:val="22"/>
                <w:szCs w:val="22"/>
                <w:bdr w:val="nil"/>
                <w:lang w:val="de-DE"/>
              </w:rPr>
              <w:t>Monitoring der aktuellen</w:t>
            </w:r>
            <w:r w:rsidR="0078680C">
              <w:rPr>
                <w:rFonts w:ascii="Arial" w:hAnsi="Arial" w:eastAsia="Arial" w:cs="Arial"/>
                <w:sz w:val="22"/>
                <w:szCs w:val="22"/>
                <w:bdr w:val="nil"/>
                <w:lang w:val="de-DE"/>
              </w:rPr>
              <w:t xml:space="preserve"> </w:t>
            </w:r>
            <w:r w:rsidR="00CA0BE1">
              <w:rPr>
                <w:rFonts w:ascii="Arial" w:hAnsi="Arial" w:eastAsia="Arial" w:cs="Arial"/>
                <w:sz w:val="22"/>
                <w:szCs w:val="22"/>
                <w:bdr w:val="nil"/>
                <w:lang w:val="de-DE"/>
              </w:rPr>
              <w:t xml:space="preserve">und </w:t>
            </w:r>
            <w:r w:rsidR="0078680C">
              <w:rPr>
                <w:rFonts w:ascii="Arial" w:hAnsi="Arial" w:eastAsia="Arial" w:cs="Arial"/>
                <w:sz w:val="22"/>
                <w:szCs w:val="22"/>
                <w:bdr w:val="nil"/>
                <w:lang w:val="de-DE"/>
              </w:rPr>
              <w:t>zukünftige</w:t>
            </w:r>
            <w:r w:rsidR="00CA0BE1">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Arbeit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CA0BE1">
              <w:rPr>
                <w:rFonts w:ascii="Arial" w:hAnsi="Arial" w:eastAsia="Arial" w:cs="Arial"/>
                <w:sz w:val="22"/>
                <w:szCs w:val="22"/>
                <w:bdr w:val="nil"/>
                <w:lang w:val="de-DE"/>
              </w:rPr>
              <w:t>mitwirk</w:t>
            </w:r>
            <w:r w:rsidR="0049113F">
              <w:rPr>
                <w:rFonts w:ascii="Arial" w:hAnsi="Arial" w:eastAsia="Arial" w:cs="Arial"/>
                <w:sz w:val="22"/>
                <w:szCs w:val="22"/>
                <w:bdr w:val="nil"/>
                <w:lang w:val="de-DE"/>
              </w:rPr>
              <w:t>t</w:t>
            </w:r>
            <w:r w:rsidR="0078680C">
              <w:rPr>
                <w:rFonts w:ascii="Arial" w:hAnsi="Arial" w:eastAsia="Arial" w:cs="Arial"/>
                <w:sz w:val="22"/>
                <w:szCs w:val="22"/>
                <w:bdr w:val="nil"/>
                <w:lang w:val="de-DE"/>
              </w:rPr>
              <w:t xml:space="preserve">. Eine größere Bandbreite von </w:t>
            </w:r>
            <w:r w:rsidR="00B210C0">
              <w:rPr>
                <w:rFonts w:ascii="Arial" w:hAnsi="Arial" w:eastAsia="Arial" w:cs="Arial"/>
                <w:sz w:val="22"/>
                <w:szCs w:val="22"/>
                <w:bdr w:val="nil"/>
                <w:lang w:val="de-DE"/>
              </w:rPr>
              <w:t>Stakeholdern,</w:t>
            </w:r>
            <w:r w:rsidR="0078680C">
              <w:rPr>
                <w:rFonts w:ascii="Arial" w:hAnsi="Arial" w:eastAsia="Arial" w:cs="Arial"/>
                <w:sz w:val="22"/>
                <w:szCs w:val="22"/>
                <w:bdr w:val="nil"/>
                <w:lang w:val="de-DE"/>
              </w:rPr>
              <w:t xml:space="preserve"> einschließlich Zivilgesellschaft, </w:t>
            </w:r>
            <w:r w:rsidR="00B210C0">
              <w:rPr>
                <w:rFonts w:ascii="Arial" w:hAnsi="Arial" w:eastAsia="Arial" w:cs="Arial"/>
                <w:sz w:val="22"/>
                <w:szCs w:val="22"/>
                <w:bdr w:val="nil"/>
                <w:lang w:val="de-DE"/>
              </w:rPr>
              <w:t>Wissenschaft</w:t>
            </w:r>
            <w:r w:rsidR="0078680C">
              <w:rPr>
                <w:rFonts w:ascii="Arial" w:hAnsi="Arial" w:eastAsia="Arial" w:cs="Arial"/>
                <w:sz w:val="22"/>
                <w:szCs w:val="22"/>
                <w:bdr w:val="nil"/>
                <w:lang w:val="de-DE"/>
              </w:rPr>
              <w:t xml:space="preserve">, Arbeitgeber- und Arbeitnehmerverbänden und Medien, könnte auf ähnliche Weise in diesen </w:t>
            </w:r>
            <w:r w:rsidR="00B210C0">
              <w:rPr>
                <w:rFonts w:ascii="Arial" w:hAnsi="Arial" w:eastAsia="Arial" w:cs="Arial"/>
                <w:sz w:val="22"/>
                <w:szCs w:val="22"/>
                <w:bdr w:val="nil"/>
                <w:lang w:val="de-DE"/>
              </w:rPr>
              <w:t xml:space="preserve">oder einen separaten </w:t>
            </w:r>
            <w:r w:rsidR="0078680C">
              <w:rPr>
                <w:rFonts w:ascii="Arial" w:hAnsi="Arial" w:eastAsia="Arial" w:cs="Arial"/>
                <w:sz w:val="22"/>
                <w:szCs w:val="22"/>
                <w:bdr w:val="nil"/>
                <w:lang w:val="de-DE"/>
              </w:rPr>
              <w:t xml:space="preserve">Ausschuss </w:t>
            </w:r>
            <w:r w:rsidR="00B210C0">
              <w:rPr>
                <w:rFonts w:ascii="Arial" w:hAnsi="Arial" w:eastAsia="Arial" w:cs="Arial"/>
                <w:sz w:val="22"/>
                <w:szCs w:val="22"/>
                <w:bdr w:val="nil"/>
                <w:lang w:val="de-DE"/>
              </w:rPr>
              <w:t xml:space="preserve">eingebunden </w:t>
            </w:r>
            <w:r w:rsidR="0078680C">
              <w:rPr>
                <w:rFonts w:ascii="Arial" w:hAnsi="Arial" w:eastAsia="Arial" w:cs="Arial"/>
                <w:sz w:val="22"/>
                <w:szCs w:val="22"/>
                <w:bdr w:val="nil"/>
                <w:lang w:val="de-DE"/>
              </w:rPr>
              <w:t xml:space="preserve">werden.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können darüber hinaus auch temporäre Arbeits- und Projektgruppen mit </w:t>
            </w:r>
            <w:r w:rsidR="00B210C0">
              <w:rPr>
                <w:rFonts w:ascii="Arial" w:hAnsi="Arial" w:eastAsia="Arial" w:cs="Arial"/>
                <w:sz w:val="22"/>
                <w:szCs w:val="22"/>
                <w:bdr w:val="nil"/>
                <w:lang w:val="de-DE"/>
              </w:rPr>
              <w:t xml:space="preserve">Stakeholdern </w:t>
            </w:r>
            <w:r w:rsidR="0078680C">
              <w:rPr>
                <w:rFonts w:ascii="Arial" w:hAnsi="Arial" w:eastAsia="Arial" w:cs="Arial"/>
                <w:sz w:val="22"/>
                <w:szCs w:val="22"/>
                <w:bdr w:val="nil"/>
                <w:lang w:val="de-DE"/>
              </w:rPr>
              <w:t xml:space="preserve">einrichten, um konkrete </w:t>
            </w:r>
            <w:r w:rsidR="00B210C0">
              <w:rPr>
                <w:rFonts w:ascii="Arial" w:hAnsi="Arial" w:eastAsia="Arial" w:cs="Arial"/>
                <w:sz w:val="22"/>
                <w:szCs w:val="22"/>
                <w:bdr w:val="nil"/>
                <w:lang w:val="de-DE"/>
              </w:rPr>
              <w:t xml:space="preserve">Aufgaben </w:t>
            </w:r>
            <w:r w:rsidR="0078680C">
              <w:rPr>
                <w:rFonts w:ascii="Arial" w:hAnsi="Arial" w:eastAsia="Arial" w:cs="Arial"/>
                <w:sz w:val="22"/>
                <w:szCs w:val="22"/>
                <w:bdr w:val="nil"/>
                <w:lang w:val="de-DE"/>
              </w:rPr>
              <w:t xml:space="preserve">voranzubringen und gemeinsame Aktivitäten und Projekte </w:t>
            </w:r>
            <w:r w:rsidR="0049113F">
              <w:rPr>
                <w:rFonts w:ascii="Arial" w:hAnsi="Arial" w:eastAsia="Arial" w:cs="Arial"/>
                <w:sz w:val="22"/>
                <w:szCs w:val="22"/>
                <w:bdr w:val="nil"/>
                <w:lang w:val="de-DE"/>
              </w:rPr>
              <w:t xml:space="preserve">zu entwickeln </w:t>
            </w:r>
            <w:r w:rsidR="0078680C">
              <w:rPr>
                <w:rFonts w:ascii="Arial" w:hAnsi="Arial" w:eastAsia="Arial" w:cs="Arial"/>
                <w:sz w:val="22"/>
                <w:szCs w:val="22"/>
                <w:bdr w:val="nil"/>
                <w:lang w:val="de-DE"/>
              </w:rPr>
              <w:t xml:space="preserve">und </w:t>
            </w:r>
            <w:r w:rsidR="0049113F">
              <w:rPr>
                <w:rFonts w:ascii="Arial" w:hAnsi="Arial" w:eastAsia="Arial" w:cs="Arial"/>
                <w:sz w:val="22"/>
                <w:szCs w:val="22"/>
                <w:bdr w:val="nil"/>
                <w:lang w:val="de-DE"/>
              </w:rPr>
              <w:t>implementieren</w:t>
            </w:r>
            <w:r w:rsidR="0078680C">
              <w:rPr>
                <w:rFonts w:ascii="Arial" w:hAnsi="Arial" w:eastAsia="Arial" w:cs="Arial"/>
                <w:sz w:val="22"/>
                <w:szCs w:val="22"/>
                <w:bdr w:val="nil"/>
                <w:lang w:val="de-DE"/>
              </w:rPr>
              <w:t>.</w:t>
            </w:r>
            <w:bookmarkEnd w:id="59"/>
            <w:bookmarkEnd w:id="60"/>
            <w:r w:rsidR="0078680C">
              <w:rPr>
                <w:rFonts w:ascii="Arial" w:hAnsi="Arial" w:eastAsia="Arial" w:cs="Arial"/>
                <w:sz w:val="22"/>
                <w:szCs w:val="22"/>
                <w:bdr w:val="nil"/>
                <w:lang w:val="de-DE"/>
              </w:rPr>
              <w:t xml:space="preserve"> </w:t>
            </w:r>
          </w:p>
        </w:tc>
      </w:tr>
      <w:tr w:rsidRPr="00046FAE" w:rsidR="00D8651C" w:rsidTr="00C0685F" w14:paraId="7ACE7AFA" w14:textId="77777777">
        <w:tc>
          <w:tcPr>
            <w:tcW w:w="10112" w:type="dxa"/>
            <w:gridSpan w:val="2"/>
          </w:tcPr>
          <w:p w:rsidRPr="006353CB" w:rsidR="00DD016F" w:rsidP="005B4190" w:rsidRDefault="00D4725B" w14:paraId="2E21D888" w14:textId="1B6C8B36">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w:t>
            </w:r>
            <w:r w:rsidR="00786C47">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_Ref483821788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38</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bis</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_Ref483821801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39</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6C29B1" w:rsidR="00DD016F" w:rsidP="002F290F" w:rsidRDefault="00781974" w14:paraId="637C9605" w14:textId="6A4A2D5A">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sollten in allen ihren Tätigkeitsbereichen </w:t>
            </w:r>
            <w:r w:rsidRPr="00B210C0" w:rsidR="00B210C0">
              <w:rPr>
                <w:rFonts w:ascii="Arial" w:hAnsi="Arial" w:eastAsia="Arial" w:cs="Arial"/>
                <w:sz w:val="22"/>
                <w:szCs w:val="22"/>
                <w:bdr w:val="nil"/>
                <w:lang w:val="de-DE"/>
              </w:rPr>
              <w:t xml:space="preserve">als Modell für Vielfalt und Ausgewogenheit der Geschlechter </w:t>
            </w:r>
            <w:r w:rsidR="0078680C">
              <w:rPr>
                <w:rFonts w:ascii="Arial" w:hAnsi="Arial" w:eastAsia="Arial" w:cs="Arial"/>
                <w:sz w:val="22"/>
                <w:szCs w:val="22"/>
                <w:bdr w:val="nil"/>
                <w:lang w:val="de-DE"/>
              </w:rPr>
              <w:t xml:space="preserve">dienen. Das Einstellen von Führungskräften und </w:t>
            </w:r>
            <w:r w:rsidR="0078680C">
              <w:rPr>
                <w:rFonts w:ascii="Arial" w:hAnsi="Arial" w:eastAsia="Arial" w:cs="Arial"/>
                <w:sz w:val="22"/>
                <w:szCs w:val="22"/>
                <w:bdr w:val="nil"/>
                <w:lang w:val="de-DE"/>
              </w:rPr>
              <w:lastRenderedPageBreak/>
              <w:t xml:space="preserve">Mitarbeitern mit unterschiedlichem Hintergrund und unterschiedlichen persönlichen Erfahrungen wird die Kapazität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erhöhen, die Situation von Gruppen</w:t>
            </w:r>
            <w:r w:rsidR="00B210C0">
              <w:rPr>
                <w:rFonts w:ascii="Arial" w:hAnsi="Arial" w:eastAsia="Arial" w:cs="Arial"/>
                <w:sz w:val="22"/>
                <w:szCs w:val="22"/>
                <w:bdr w:val="nil"/>
                <w:lang w:val="de-DE"/>
              </w:rPr>
              <w:t xml:space="preserve"> zu verstehen</w:t>
            </w:r>
            <w:r w:rsidR="0078680C">
              <w:rPr>
                <w:rFonts w:ascii="Arial" w:hAnsi="Arial" w:eastAsia="Arial" w:cs="Arial"/>
                <w:sz w:val="22"/>
                <w:szCs w:val="22"/>
                <w:bdr w:val="nil"/>
                <w:lang w:val="de-DE"/>
              </w:rPr>
              <w:t xml:space="preserve">, die Diskriminierung und Intoleranz ausgesetzt sind, </w:t>
            </w:r>
            <w:r w:rsidR="00B210C0">
              <w:rPr>
                <w:rFonts w:ascii="Arial" w:hAnsi="Arial" w:eastAsia="Arial" w:cs="Arial"/>
                <w:sz w:val="22"/>
                <w:szCs w:val="22"/>
                <w:bdr w:val="nil"/>
                <w:lang w:val="de-DE"/>
              </w:rPr>
              <w:t>mit diesen Gruppen zu interagieren und ihre Situation</w:t>
            </w:r>
            <w:r w:rsidR="0078680C">
              <w:rPr>
                <w:rFonts w:ascii="Arial" w:hAnsi="Arial" w:eastAsia="Arial" w:cs="Arial"/>
                <w:sz w:val="22"/>
                <w:szCs w:val="22"/>
                <w:bdr w:val="nil"/>
                <w:lang w:val="de-DE"/>
              </w:rPr>
              <w:t xml:space="preserve"> zu verbessern. Vielfalt in der Führung der </w:t>
            </w: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 </w:t>
            </w:r>
            <w:r w:rsidR="00B210C0">
              <w:rPr>
                <w:rFonts w:ascii="Arial" w:hAnsi="Arial" w:eastAsia="Arial" w:cs="Arial"/>
                <w:sz w:val="22"/>
                <w:szCs w:val="22"/>
                <w:bdr w:val="nil"/>
                <w:lang w:val="de-DE"/>
              </w:rPr>
              <w:t xml:space="preserve">kann </w:t>
            </w:r>
            <w:r w:rsidR="0078680C">
              <w:rPr>
                <w:rFonts w:ascii="Arial" w:hAnsi="Arial" w:eastAsia="Arial" w:cs="Arial"/>
                <w:sz w:val="22"/>
                <w:szCs w:val="22"/>
                <w:bdr w:val="nil"/>
                <w:lang w:val="de-DE"/>
              </w:rPr>
              <w:t xml:space="preserve">durch das Einrichten eines Vorstandes und </w:t>
            </w:r>
            <w:r w:rsidR="00B210C0">
              <w:rPr>
                <w:rFonts w:ascii="Arial" w:hAnsi="Arial" w:eastAsia="Arial" w:cs="Arial"/>
                <w:sz w:val="22"/>
                <w:szCs w:val="22"/>
                <w:bdr w:val="nil"/>
                <w:lang w:val="de-DE"/>
              </w:rPr>
              <w:t>eines b</w:t>
            </w:r>
            <w:r w:rsidR="0078680C">
              <w:rPr>
                <w:rFonts w:ascii="Arial" w:hAnsi="Arial" w:eastAsia="Arial" w:cs="Arial"/>
                <w:sz w:val="22"/>
                <w:szCs w:val="22"/>
                <w:bdr w:val="nil"/>
                <w:lang w:val="de-DE"/>
              </w:rPr>
              <w:t>erat</w:t>
            </w:r>
            <w:r w:rsidR="00B210C0">
              <w:rPr>
                <w:rFonts w:ascii="Arial" w:hAnsi="Arial" w:eastAsia="Arial" w:cs="Arial"/>
                <w:sz w:val="22"/>
                <w:szCs w:val="22"/>
                <w:bdr w:val="nil"/>
                <w:lang w:val="de-DE"/>
              </w:rPr>
              <w:t>enden A</w:t>
            </w:r>
            <w:r w:rsidR="0078680C">
              <w:rPr>
                <w:rFonts w:ascii="Arial" w:hAnsi="Arial" w:eastAsia="Arial" w:cs="Arial"/>
                <w:sz w:val="22"/>
                <w:szCs w:val="22"/>
                <w:bdr w:val="nil"/>
                <w:lang w:val="de-DE"/>
              </w:rPr>
              <w:t xml:space="preserve">usschusses erreicht werden, deren Mitglieder aus den Gruppen und Organisationen stammen, die in </w:t>
            </w:r>
            <w:r w:rsidR="00786C47">
              <w:rPr>
                <w:rFonts w:ascii="Arial" w:hAnsi="Arial" w:eastAsia="Arial" w:cs="Arial"/>
                <w:sz w:val="22"/>
                <w:szCs w:val="22"/>
                <w:bdr w:val="nil"/>
                <w:lang w:val="de-DE"/>
              </w:rPr>
              <w:t>§ </w:t>
            </w:r>
            <w:r w:rsidRPr="006353CB" w:rsidR="0078680C">
              <w:rPr>
                <w:rFonts w:ascii="Arial" w:hAnsi="Arial" w:cs="Arial"/>
                <w:sz w:val="22"/>
                <w:szCs w:val="22"/>
                <w:lang w:val="en-GB"/>
              </w:rPr>
              <w:fldChar w:fldCharType="begin"/>
            </w:r>
            <w:r w:rsidRPr="006C29B1" w:rsidR="0078680C">
              <w:rPr>
                <w:rFonts w:ascii="Arial" w:hAnsi="Arial" w:cs="Arial"/>
                <w:sz w:val="22"/>
                <w:szCs w:val="22"/>
                <w:lang w:val="de-DE"/>
              </w:rPr>
              <w:instrText xml:space="preserve"> REF _Ref490660392 \r \h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00120F0D">
              <w:rPr>
                <w:rFonts w:ascii="Arial" w:hAnsi="Arial" w:cs="Arial"/>
                <w:sz w:val="22"/>
                <w:szCs w:val="22"/>
                <w:lang w:val="de-DE"/>
              </w:rPr>
              <w:t>114</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des Begründungstextes genannt sind. </w:t>
            </w:r>
            <w:r w:rsidR="0049113F">
              <w:rPr>
                <w:rFonts w:ascii="Arial" w:hAnsi="Arial" w:eastAsia="Arial" w:cs="Arial"/>
                <w:sz w:val="22"/>
                <w:szCs w:val="22"/>
                <w:bdr w:val="nil"/>
                <w:lang w:val="de-DE"/>
              </w:rPr>
              <w:t>I</w:t>
            </w:r>
            <w:r w:rsidR="0078680C">
              <w:rPr>
                <w:rFonts w:ascii="Arial" w:hAnsi="Arial" w:eastAsia="Arial" w:cs="Arial"/>
                <w:sz w:val="22"/>
                <w:szCs w:val="22"/>
                <w:bdr w:val="nil"/>
                <w:lang w:val="de-DE"/>
              </w:rPr>
              <w:t>m Management und unter den Mitarbeitern k</w:t>
            </w:r>
            <w:r w:rsidR="0049113F">
              <w:rPr>
                <w:rFonts w:ascii="Arial" w:hAnsi="Arial" w:eastAsia="Arial" w:cs="Arial"/>
                <w:sz w:val="22"/>
                <w:szCs w:val="22"/>
                <w:bdr w:val="nil"/>
                <w:lang w:val="de-DE"/>
              </w:rPr>
              <w:t>a</w:t>
            </w:r>
            <w:r w:rsidR="0078680C">
              <w:rPr>
                <w:rFonts w:ascii="Arial" w:hAnsi="Arial" w:eastAsia="Arial" w:cs="Arial"/>
                <w:sz w:val="22"/>
                <w:szCs w:val="22"/>
                <w:bdr w:val="nil"/>
                <w:lang w:val="de-DE"/>
              </w:rPr>
              <w:t>nn</w:t>
            </w:r>
            <w:r w:rsidR="0049113F">
              <w:rPr>
                <w:rFonts w:ascii="Arial" w:hAnsi="Arial" w:eastAsia="Arial" w:cs="Arial"/>
                <w:sz w:val="22"/>
                <w:szCs w:val="22"/>
                <w:bdr w:val="nil"/>
                <w:lang w:val="de-DE"/>
              </w:rPr>
              <w:t xml:space="preserve"> Vielfalt</w:t>
            </w:r>
            <w:r w:rsidR="0078680C">
              <w:rPr>
                <w:rFonts w:ascii="Arial" w:hAnsi="Arial" w:eastAsia="Arial" w:cs="Arial"/>
                <w:sz w:val="22"/>
                <w:szCs w:val="22"/>
                <w:bdr w:val="nil"/>
                <w:lang w:val="de-DE"/>
              </w:rPr>
              <w:t xml:space="preserve"> durch einen Einstellungsprozess </w:t>
            </w:r>
            <w:r w:rsidR="0049113F">
              <w:rPr>
                <w:rFonts w:ascii="Arial" w:hAnsi="Arial" w:eastAsia="Arial" w:cs="Arial"/>
                <w:sz w:val="22"/>
                <w:szCs w:val="22"/>
                <w:bdr w:val="nil"/>
                <w:lang w:val="de-DE"/>
              </w:rPr>
              <w:t xml:space="preserve">sichergestellt </w:t>
            </w:r>
            <w:r w:rsidR="0078680C">
              <w:rPr>
                <w:rFonts w:ascii="Arial" w:hAnsi="Arial" w:eastAsia="Arial" w:cs="Arial"/>
                <w:sz w:val="22"/>
                <w:szCs w:val="22"/>
                <w:bdr w:val="nil"/>
                <w:lang w:val="de-DE"/>
              </w:rPr>
              <w:t>werden, der auf Gleichheit</w:t>
            </w:r>
            <w:r w:rsidR="00B210C0">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und </w:t>
            </w:r>
            <w:r w:rsidR="00B210C0">
              <w:rPr>
                <w:rFonts w:ascii="Arial" w:hAnsi="Arial" w:eastAsia="Arial" w:cs="Arial"/>
                <w:sz w:val="22"/>
                <w:szCs w:val="22"/>
                <w:bdr w:val="nil"/>
                <w:lang w:val="de-DE"/>
              </w:rPr>
              <w:t>Diversitätssystemen</w:t>
            </w:r>
            <w:r w:rsidR="0078680C">
              <w:rPr>
                <w:rFonts w:ascii="Arial" w:hAnsi="Arial" w:eastAsia="Arial" w:cs="Arial"/>
                <w:sz w:val="22"/>
                <w:szCs w:val="22"/>
                <w:bdr w:val="nil"/>
                <w:lang w:val="de-DE"/>
              </w:rPr>
              <w:t xml:space="preserve"> basiert, </w:t>
            </w:r>
            <w:r w:rsidR="00B210C0">
              <w:rPr>
                <w:rFonts w:ascii="Arial" w:hAnsi="Arial" w:eastAsia="Arial" w:cs="Arial"/>
                <w:sz w:val="22"/>
                <w:szCs w:val="22"/>
                <w:bdr w:val="nil"/>
                <w:lang w:val="de-DE"/>
              </w:rPr>
              <w:t>einschließlich positiver Maßnahmen zur Einstellung von</w:t>
            </w:r>
            <w:r w:rsidR="0078680C">
              <w:rPr>
                <w:rFonts w:ascii="Arial" w:hAnsi="Arial" w:eastAsia="Arial" w:cs="Arial"/>
                <w:sz w:val="22"/>
                <w:szCs w:val="22"/>
                <w:bdr w:val="nil"/>
                <w:lang w:val="de-DE"/>
              </w:rPr>
              <w:t xml:space="preserve"> Mitarbeiter</w:t>
            </w:r>
            <w:r w:rsidR="0049113F">
              <w:rPr>
                <w:rFonts w:ascii="Arial" w:hAnsi="Arial" w:eastAsia="Arial" w:cs="Arial"/>
                <w:sz w:val="22"/>
                <w:szCs w:val="22"/>
                <w:bdr w:val="nil"/>
                <w:lang w:val="de-DE"/>
              </w:rPr>
              <w:t>n</w:t>
            </w:r>
            <w:r w:rsidR="0078680C">
              <w:rPr>
                <w:rFonts w:ascii="Arial" w:hAnsi="Arial" w:eastAsia="Arial" w:cs="Arial"/>
                <w:sz w:val="22"/>
                <w:szCs w:val="22"/>
                <w:bdr w:val="nil"/>
                <w:lang w:val="de-DE"/>
              </w:rPr>
              <w:t xml:space="preserve"> </w:t>
            </w:r>
            <w:r w:rsidR="00B210C0">
              <w:rPr>
                <w:rFonts w:ascii="Arial" w:hAnsi="Arial" w:eastAsia="Arial" w:cs="Arial"/>
                <w:sz w:val="22"/>
                <w:szCs w:val="22"/>
                <w:bdr w:val="nil"/>
                <w:lang w:val="de-DE"/>
              </w:rPr>
              <w:t>aus</w:t>
            </w:r>
            <w:r w:rsidR="0078680C">
              <w:rPr>
                <w:rFonts w:ascii="Arial" w:hAnsi="Arial" w:eastAsia="Arial" w:cs="Arial"/>
                <w:sz w:val="22"/>
                <w:szCs w:val="22"/>
                <w:bdr w:val="nil"/>
                <w:lang w:val="de-DE"/>
              </w:rPr>
              <w:t xml:space="preserve"> unterrepräsentierten Gruppen, die Diskriminierung und Intoleranz ausgesetzt sind. </w:t>
            </w:r>
          </w:p>
          <w:p w:rsidRPr="006C29B1" w:rsidR="00DD016F" w:rsidP="002F290F" w:rsidRDefault="00781974" w14:paraId="3D943BFF" w14:textId="0547760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n sollten sich um ein ausgewogenes Geschlechterverhältnis in ihren Strukturen und ihre</w:t>
            </w:r>
            <w:r w:rsidR="0049113F">
              <w:rPr>
                <w:rFonts w:ascii="Arial" w:hAnsi="Arial" w:eastAsia="Arial" w:cs="Arial"/>
                <w:sz w:val="22"/>
                <w:szCs w:val="22"/>
                <w:bdr w:val="nil"/>
                <w:lang w:val="de-DE"/>
              </w:rPr>
              <w:t>r</w:t>
            </w:r>
            <w:r w:rsidR="0078680C">
              <w:rPr>
                <w:rFonts w:ascii="Arial" w:hAnsi="Arial" w:eastAsia="Arial" w:cs="Arial"/>
                <w:sz w:val="22"/>
                <w:szCs w:val="22"/>
                <w:bdr w:val="nil"/>
                <w:lang w:val="de-DE"/>
              </w:rPr>
              <w:t xml:space="preserve"> Mitarbeiter</w:t>
            </w:r>
            <w:r w:rsidR="0049113F">
              <w:rPr>
                <w:rFonts w:ascii="Arial" w:hAnsi="Arial" w:eastAsia="Arial" w:cs="Arial"/>
                <w:sz w:val="22"/>
                <w:szCs w:val="22"/>
                <w:bdr w:val="nil"/>
                <w:lang w:val="de-DE"/>
              </w:rPr>
              <w:t>schaft</w:t>
            </w:r>
            <w:r w:rsidR="0078680C">
              <w:rPr>
                <w:rFonts w:ascii="Arial" w:hAnsi="Arial" w:eastAsia="Arial" w:cs="Arial"/>
                <w:sz w:val="22"/>
                <w:szCs w:val="22"/>
                <w:bdr w:val="nil"/>
                <w:lang w:val="de-DE"/>
              </w:rPr>
              <w:t xml:space="preserve"> bemühen und </w:t>
            </w:r>
            <w:r w:rsidR="00B210C0">
              <w:rPr>
                <w:rFonts w:ascii="Arial" w:hAnsi="Arial" w:eastAsia="Arial" w:cs="Arial"/>
                <w:sz w:val="22"/>
                <w:szCs w:val="22"/>
                <w:bdr w:val="nil"/>
                <w:lang w:val="de-DE"/>
              </w:rPr>
              <w:t xml:space="preserve">gegebenenfalls </w:t>
            </w:r>
            <w:r w:rsidR="0078680C">
              <w:rPr>
                <w:rFonts w:ascii="Arial" w:hAnsi="Arial" w:eastAsia="Arial" w:cs="Arial"/>
                <w:sz w:val="22"/>
                <w:szCs w:val="22"/>
                <w:bdr w:val="nil"/>
                <w:lang w:val="de-DE"/>
              </w:rPr>
              <w:t xml:space="preserve">Fördermaßnahmen einsetzen, um dieses Ziel zu erreichen. </w:t>
            </w:r>
          </w:p>
        </w:tc>
      </w:tr>
      <w:tr w:rsidRPr="00046FAE" w:rsidR="00D8651C" w:rsidTr="00C0685F" w14:paraId="137DFC90" w14:textId="77777777">
        <w:tc>
          <w:tcPr>
            <w:tcW w:w="10112" w:type="dxa"/>
            <w:gridSpan w:val="2"/>
          </w:tcPr>
          <w:p w:rsidRPr="006C29B1" w:rsidR="00DD016F" w:rsidP="002F290F" w:rsidRDefault="00781974" w14:paraId="5E50C4C0" w14:textId="4C79E6C5">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Gleichheitsstelle</w:t>
            </w:r>
            <w:r w:rsidR="0078680C">
              <w:rPr>
                <w:rFonts w:ascii="Arial" w:hAnsi="Arial" w:eastAsia="Arial" w:cs="Arial"/>
                <w:sz w:val="22"/>
                <w:szCs w:val="22"/>
                <w:bdr w:val="nil"/>
                <w:lang w:val="de-DE"/>
              </w:rPr>
              <w:t xml:space="preserve">n haben vielfältige </w:t>
            </w:r>
            <w:r w:rsidR="002A166A">
              <w:rPr>
                <w:rFonts w:ascii="Arial" w:hAnsi="Arial" w:eastAsia="Arial" w:cs="Arial"/>
                <w:sz w:val="22"/>
                <w:szCs w:val="22"/>
                <w:bdr w:val="nil"/>
                <w:lang w:val="de-DE"/>
              </w:rPr>
              <w:t>Kompetenz</w:t>
            </w:r>
            <w:r w:rsidR="0078680C">
              <w:rPr>
                <w:rFonts w:ascii="Arial" w:hAnsi="Arial" w:eastAsia="Arial" w:cs="Arial"/>
                <w:sz w:val="22"/>
                <w:szCs w:val="22"/>
                <w:bdr w:val="nil"/>
                <w:lang w:val="de-DE"/>
              </w:rPr>
              <w:t xml:space="preserve">en (siehe </w:t>
            </w:r>
            <w:r w:rsidR="00D4725B">
              <w:rPr>
                <w:rFonts w:ascii="Arial" w:hAnsi="Arial" w:eastAsia="Arial" w:cs="Arial"/>
                <w:sz w:val="22"/>
                <w:szCs w:val="22"/>
                <w:bdr w:val="nil"/>
                <w:lang w:val="de-DE"/>
              </w:rPr>
              <w:t>§</w:t>
            </w:r>
            <w:r w:rsidR="00786C47">
              <w:rPr>
                <w:rFonts w:ascii="Arial" w:hAnsi="Arial" w:eastAsia="Arial" w:cs="Arial"/>
                <w:sz w:val="22"/>
                <w:szCs w:val="22"/>
                <w:bdr w:val="nil"/>
                <w:lang w:val="de-DE"/>
              </w:rPr>
              <w:t>§ </w:t>
            </w:r>
            <w:r w:rsidR="0078680C">
              <w:rPr>
                <w:rFonts w:ascii="Arial" w:hAnsi="Arial" w:eastAsia="Arial" w:cs="Arial"/>
                <w:sz w:val="22"/>
                <w:szCs w:val="22"/>
                <w:bdr w:val="nil"/>
                <w:lang w:val="de-DE"/>
              </w:rPr>
              <w:t xml:space="preserve">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_Ref474139265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13</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bis </w:t>
            </w:r>
            <w:r w:rsidRPr="006353CB" w:rsidR="0078680C">
              <w:rPr>
                <w:rFonts w:ascii="Arial" w:hAnsi="Arial" w:cs="Arial"/>
                <w:sz w:val="22"/>
                <w:szCs w:val="22"/>
                <w:lang w:val="en-GB"/>
              </w:rPr>
              <w:fldChar w:fldCharType="begin"/>
            </w:r>
            <w:r w:rsidRPr="00877D49" w:rsidR="0078680C">
              <w:rPr>
                <w:rFonts w:ascii="Arial" w:hAnsi="Arial" w:cs="Arial"/>
                <w:sz w:val="22"/>
                <w:szCs w:val="22"/>
                <w:lang w:val="de-DE"/>
              </w:rPr>
              <w:instrText xml:space="preserve"> REF _Ref484072558 \r \h  \* MERGEFORMAT </w:instrText>
            </w:r>
            <w:r w:rsidRPr="006353CB" w:rsidR="0078680C">
              <w:rPr>
                <w:rFonts w:ascii="Arial" w:hAnsi="Arial" w:cs="Arial"/>
                <w:sz w:val="22"/>
                <w:szCs w:val="22"/>
                <w:lang w:val="en-GB"/>
              </w:rPr>
            </w:r>
            <w:r w:rsidRPr="006353CB" w:rsidR="0078680C">
              <w:rPr>
                <w:rFonts w:ascii="Arial" w:hAnsi="Arial" w:cs="Arial"/>
                <w:sz w:val="22"/>
                <w:szCs w:val="22"/>
                <w:lang w:val="en-GB"/>
              </w:rPr>
              <w:fldChar w:fldCharType="separate"/>
            </w:r>
            <w:r w:rsidRPr="00120F0D" w:rsidR="00120F0D">
              <w:rPr>
                <w:rFonts w:ascii="Arial" w:hAnsi="Arial" w:eastAsia="Arial" w:cs="Arial"/>
                <w:sz w:val="22"/>
                <w:szCs w:val="22"/>
                <w:bdr w:val="nil"/>
                <w:lang w:val="de-DE"/>
              </w:rPr>
              <w:t>18</w:t>
            </w:r>
            <w:r w:rsidRPr="006353CB" w:rsidR="0078680C">
              <w:rPr>
                <w:rFonts w:ascii="Arial" w:hAnsi="Arial" w:cs="Arial"/>
                <w:sz w:val="22"/>
                <w:szCs w:val="22"/>
                <w:lang w:val="en-GB"/>
              </w:rPr>
              <w:fldChar w:fldCharType="end"/>
            </w:r>
            <w:r w:rsidR="0078680C">
              <w:rPr>
                <w:rFonts w:ascii="Arial" w:hAnsi="Arial" w:eastAsia="Arial" w:cs="Arial"/>
                <w:sz w:val="22"/>
                <w:szCs w:val="22"/>
                <w:bdr w:val="nil"/>
                <w:lang w:val="de-DE"/>
              </w:rPr>
              <w:t xml:space="preserve"> der </w:t>
            </w:r>
            <w:r w:rsidR="00717C12">
              <w:rPr>
                <w:rFonts w:ascii="Arial" w:hAnsi="Arial" w:eastAsia="Arial" w:cs="Arial"/>
                <w:sz w:val="22"/>
                <w:szCs w:val="22"/>
                <w:bdr w:val="nil"/>
                <w:lang w:val="de-DE"/>
              </w:rPr>
              <w:t>APE</w:t>
            </w:r>
            <w:r w:rsidR="0078680C">
              <w:rPr>
                <w:rFonts w:ascii="Arial" w:hAnsi="Arial" w:eastAsia="Arial" w:cs="Arial"/>
                <w:sz w:val="22"/>
                <w:szCs w:val="22"/>
                <w:bdr w:val="nil"/>
                <w:lang w:val="de-DE"/>
              </w:rPr>
              <w:t>) und befassen sich mit Fragen der Gleichheit, Diskriminierung und Intoleranz</w:t>
            </w:r>
            <w:r w:rsidR="00B210C0">
              <w:rPr>
                <w:rFonts w:ascii="Arial" w:hAnsi="Arial" w:eastAsia="Arial" w:cs="Arial"/>
                <w:sz w:val="22"/>
                <w:szCs w:val="22"/>
                <w:bdr w:val="nil"/>
                <w:lang w:val="de-DE"/>
              </w:rPr>
              <w:t xml:space="preserve"> in vielen verschiedenen </w:t>
            </w:r>
            <w:r w:rsidR="0049113F">
              <w:rPr>
                <w:rFonts w:ascii="Arial" w:hAnsi="Arial" w:eastAsia="Arial" w:cs="Arial"/>
                <w:sz w:val="22"/>
                <w:szCs w:val="22"/>
                <w:bdr w:val="nil"/>
                <w:lang w:val="de-DE"/>
              </w:rPr>
              <w:t>Lebensb</w:t>
            </w:r>
            <w:r w:rsidR="00B210C0">
              <w:rPr>
                <w:rFonts w:ascii="Arial" w:hAnsi="Arial" w:eastAsia="Arial" w:cs="Arial"/>
                <w:sz w:val="22"/>
                <w:szCs w:val="22"/>
                <w:bdr w:val="nil"/>
                <w:lang w:val="de-DE"/>
              </w:rPr>
              <w:t>ereichen</w:t>
            </w:r>
            <w:r w:rsidR="0078680C">
              <w:rPr>
                <w:rFonts w:ascii="Arial" w:hAnsi="Arial" w:eastAsia="Arial" w:cs="Arial"/>
                <w:sz w:val="22"/>
                <w:szCs w:val="22"/>
                <w:bdr w:val="nil"/>
                <w:lang w:val="de-DE"/>
              </w:rPr>
              <w:t xml:space="preserve">. </w:t>
            </w:r>
            <w:r w:rsidR="0049113F">
              <w:rPr>
                <w:rFonts w:ascii="Arial" w:hAnsi="Arial" w:eastAsia="Arial" w:cs="Arial"/>
                <w:sz w:val="22"/>
                <w:szCs w:val="22"/>
                <w:bdr w:val="nil"/>
                <w:lang w:val="de-DE"/>
              </w:rPr>
              <w:t xml:space="preserve">Um alle notwendigen Aktivitäten durchführen zu können, </w:t>
            </w:r>
            <w:r w:rsidR="0078680C">
              <w:rPr>
                <w:rFonts w:ascii="Arial" w:hAnsi="Arial" w:eastAsia="Arial" w:cs="Arial"/>
                <w:sz w:val="22"/>
                <w:szCs w:val="22"/>
                <w:bdr w:val="nil"/>
                <w:lang w:val="de-DE"/>
              </w:rPr>
              <w:t xml:space="preserve">müssen </w:t>
            </w:r>
            <w:r w:rsidR="0049113F">
              <w:rPr>
                <w:rFonts w:ascii="Arial" w:hAnsi="Arial" w:eastAsia="Arial" w:cs="Arial"/>
                <w:sz w:val="22"/>
                <w:szCs w:val="22"/>
                <w:bdr w:val="nil"/>
                <w:lang w:val="de-DE"/>
              </w:rPr>
              <w:t xml:space="preserve">ihre Mitarbeiter </w:t>
            </w:r>
            <w:r w:rsidR="0078680C">
              <w:rPr>
                <w:rFonts w:ascii="Arial" w:hAnsi="Arial" w:eastAsia="Arial" w:cs="Arial"/>
                <w:sz w:val="22"/>
                <w:szCs w:val="22"/>
                <w:bdr w:val="nil"/>
                <w:lang w:val="de-DE"/>
              </w:rPr>
              <w:t xml:space="preserve">aus unterschiedlichen Berufen stammen (z. B. Pädagogen, Sozialwissenschaftler, </w:t>
            </w:r>
            <w:r w:rsidR="00B210C0">
              <w:rPr>
                <w:rFonts w:ascii="Arial" w:hAnsi="Arial" w:eastAsia="Arial" w:cs="Arial"/>
                <w:sz w:val="22"/>
                <w:szCs w:val="22"/>
                <w:bdr w:val="nil"/>
                <w:lang w:val="de-DE"/>
              </w:rPr>
              <w:t>Juristen</w:t>
            </w:r>
            <w:r w:rsidR="0078680C">
              <w:rPr>
                <w:rFonts w:ascii="Arial" w:hAnsi="Arial" w:eastAsia="Arial" w:cs="Arial"/>
                <w:sz w:val="22"/>
                <w:szCs w:val="22"/>
                <w:bdr w:val="nil"/>
                <w:lang w:val="de-DE"/>
              </w:rPr>
              <w:t xml:space="preserve">) und über vielfältige Kompetenzen verfügen (z. B. Kommunikation, Beratung, Forschung, Datenerfassung, </w:t>
            </w:r>
            <w:r w:rsidR="00B210C0">
              <w:rPr>
                <w:rFonts w:ascii="Arial" w:hAnsi="Arial" w:eastAsia="Arial" w:cs="Arial"/>
                <w:sz w:val="22"/>
                <w:szCs w:val="22"/>
                <w:bdr w:val="nil"/>
                <w:lang w:val="de-DE"/>
              </w:rPr>
              <w:t>redaktionelle,</w:t>
            </w:r>
            <w:r w:rsidR="0078680C">
              <w:rPr>
                <w:rFonts w:ascii="Arial" w:hAnsi="Arial" w:eastAsia="Arial" w:cs="Arial"/>
                <w:sz w:val="22"/>
                <w:szCs w:val="22"/>
                <w:bdr w:val="nil"/>
                <w:lang w:val="de-DE"/>
              </w:rPr>
              <w:t xml:space="preserve"> juristische und Managementfähigkeiten).</w:t>
            </w:r>
          </w:p>
          <w:p w:rsidRPr="006C29B1" w:rsidR="00DD016F" w:rsidP="002F290F" w:rsidRDefault="0078680C" w14:paraId="5B98E45F" w14:textId="7DB4D99B">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Die </w:t>
            </w:r>
            <w:r w:rsidR="00B210C0">
              <w:rPr>
                <w:rFonts w:ascii="Arial" w:hAnsi="Arial" w:eastAsia="Arial" w:cs="Arial"/>
                <w:sz w:val="22"/>
                <w:szCs w:val="22"/>
                <w:bdr w:val="nil"/>
                <w:lang w:val="de-DE"/>
              </w:rPr>
              <w:t xml:space="preserve">Schulung der </w:t>
            </w:r>
            <w:r>
              <w:rPr>
                <w:rFonts w:ascii="Arial" w:hAnsi="Arial" w:eastAsia="Arial" w:cs="Arial"/>
                <w:sz w:val="22"/>
                <w:szCs w:val="22"/>
                <w:bdr w:val="nil"/>
                <w:lang w:val="de-DE"/>
              </w:rPr>
              <w:t xml:space="preserve">Mitarbeiter innerhalb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ist wichtig um sicherzustellen, dass </w:t>
            </w:r>
            <w:r w:rsidR="0049113F">
              <w:rPr>
                <w:rFonts w:ascii="Arial" w:hAnsi="Arial" w:eastAsia="Arial" w:cs="Arial"/>
                <w:sz w:val="22"/>
                <w:szCs w:val="22"/>
                <w:bdr w:val="nil"/>
                <w:lang w:val="de-DE"/>
              </w:rPr>
              <w:t>sie</w:t>
            </w:r>
            <w:r>
              <w:rPr>
                <w:rFonts w:ascii="Arial" w:hAnsi="Arial" w:eastAsia="Arial" w:cs="Arial"/>
                <w:sz w:val="22"/>
                <w:szCs w:val="22"/>
                <w:bdr w:val="nil"/>
                <w:lang w:val="de-DE"/>
              </w:rPr>
              <w:t xml:space="preserve"> ein breites Spektrum an aktuellem Wissen</w:t>
            </w:r>
            <w:r w:rsidR="00B210C0">
              <w:rPr>
                <w:rFonts w:ascii="Arial" w:hAnsi="Arial" w:eastAsia="Arial" w:cs="Arial"/>
                <w:sz w:val="22"/>
                <w:szCs w:val="22"/>
                <w:bdr w:val="nil"/>
                <w:lang w:val="de-DE"/>
              </w:rPr>
              <w:t>,</w:t>
            </w:r>
            <w:r>
              <w:rPr>
                <w:rFonts w:ascii="Arial" w:hAnsi="Arial" w:eastAsia="Arial" w:cs="Arial"/>
                <w:sz w:val="22"/>
                <w:szCs w:val="22"/>
                <w:bdr w:val="nil"/>
                <w:lang w:val="de-DE"/>
              </w:rPr>
              <w:t xml:space="preserve"> Kompetenzen und Bewusstsein </w:t>
            </w:r>
            <w:r w:rsidR="00B210C0">
              <w:rPr>
                <w:rFonts w:ascii="Arial" w:hAnsi="Arial" w:eastAsia="Arial" w:cs="Arial"/>
                <w:sz w:val="22"/>
                <w:szCs w:val="22"/>
                <w:bdr w:val="nil"/>
                <w:lang w:val="de-DE"/>
              </w:rPr>
              <w:t>aufbauen und pflegen</w:t>
            </w:r>
            <w:r>
              <w:rPr>
                <w:rFonts w:ascii="Arial" w:hAnsi="Arial" w:eastAsia="Arial" w:cs="Arial"/>
                <w:sz w:val="22"/>
                <w:szCs w:val="22"/>
                <w:bdr w:val="nil"/>
                <w:lang w:val="de-DE"/>
              </w:rPr>
              <w:t xml:space="preserve">, </w:t>
            </w:r>
            <w:r w:rsidR="0049113F">
              <w:rPr>
                <w:rFonts w:ascii="Arial" w:hAnsi="Arial" w:eastAsia="Arial" w:cs="Arial"/>
                <w:sz w:val="22"/>
                <w:szCs w:val="22"/>
                <w:bdr w:val="nil"/>
                <w:lang w:val="de-DE"/>
              </w:rPr>
              <w:t xml:space="preserve">das </w:t>
            </w:r>
            <w:r>
              <w:rPr>
                <w:rFonts w:ascii="Arial" w:hAnsi="Arial" w:eastAsia="Arial" w:cs="Arial"/>
                <w:sz w:val="22"/>
                <w:szCs w:val="22"/>
                <w:bdr w:val="nil"/>
                <w:lang w:val="de-DE"/>
              </w:rPr>
              <w:t xml:space="preserve">erforderlich </w:t>
            </w:r>
            <w:r w:rsidR="0049113F">
              <w:rPr>
                <w:rFonts w:ascii="Arial" w:hAnsi="Arial" w:eastAsia="Arial" w:cs="Arial"/>
                <w:sz w:val="22"/>
                <w:szCs w:val="22"/>
                <w:bdr w:val="nil"/>
                <w:lang w:val="de-DE"/>
              </w:rPr>
              <w:t>ist</w:t>
            </w:r>
            <w:r>
              <w:rPr>
                <w:rFonts w:ascii="Arial" w:hAnsi="Arial" w:eastAsia="Arial" w:cs="Arial"/>
                <w:sz w:val="22"/>
                <w:szCs w:val="22"/>
                <w:bdr w:val="nil"/>
                <w:lang w:val="de-DE"/>
              </w:rPr>
              <w:t xml:space="preserve">, um ihre Tätigkeit bestmöglich durchzuführen. </w:t>
            </w:r>
          </w:p>
        </w:tc>
      </w:tr>
      <w:tr w:rsidR="00D8651C" w:rsidTr="00C0685F" w14:paraId="61B282F8" w14:textId="77777777">
        <w:tc>
          <w:tcPr>
            <w:tcW w:w="10112" w:type="dxa"/>
            <w:gridSpan w:val="2"/>
          </w:tcPr>
          <w:p w:rsidRPr="006353CB" w:rsidR="00DD016F" w:rsidP="008E2E49" w:rsidRDefault="00B210C0" w14:paraId="634ED0F0" w14:textId="1E0D1DD3">
            <w:pPr>
              <w:pStyle w:val="berschrift11"/>
              <w:numPr>
                <w:ilvl w:val="0"/>
                <w:numId w:val="30"/>
              </w:numPr>
              <w:spacing w:before="100" w:beforeAutospacing="1" w:after="100" w:afterAutospacing="1" w:line="240" w:lineRule="exact"/>
              <w:ind w:left="743"/>
              <w:rPr>
                <w:rFonts w:ascii="Arial" w:hAnsi="Arial" w:cs="Arial"/>
                <w:szCs w:val="22"/>
              </w:rPr>
            </w:pPr>
            <w:r>
              <w:rPr>
                <w:rFonts w:ascii="Arial" w:hAnsi="Arial" w:eastAsia="Arial" w:cs="Arial"/>
                <w:bCs/>
                <w:szCs w:val="22"/>
                <w:bdr w:val="nil"/>
                <w:lang w:val="de-DE"/>
              </w:rPr>
              <w:t>Barrierefreiheit</w:t>
            </w:r>
          </w:p>
        </w:tc>
      </w:tr>
      <w:tr w:rsidRPr="00046FAE" w:rsidR="00D8651C" w:rsidTr="00C0685F" w14:paraId="3F549053" w14:textId="77777777">
        <w:tc>
          <w:tcPr>
            <w:tcW w:w="10112" w:type="dxa"/>
            <w:gridSpan w:val="2"/>
          </w:tcPr>
          <w:p w:rsidRPr="006353CB" w:rsidR="00DD016F" w:rsidP="005B4190" w:rsidRDefault="00786C47" w14:paraId="185740A2" w14:textId="678EC6EB">
            <w:pPr>
              <w:tabs>
                <w:tab w:val="left" w:pos="3828"/>
              </w:tabs>
              <w:spacing w:before="100" w:beforeAutospacing="1" w:after="100" w:afterAutospacing="1" w:line="240" w:lineRule="exact"/>
              <w:jc w:val="both"/>
              <w:rPr>
                <w:rFonts w:ascii="Arial" w:hAnsi="Arial" w:cs="Arial"/>
                <w:i/>
                <w:sz w:val="22"/>
                <w:szCs w:val="22"/>
              </w:rPr>
            </w:pPr>
            <w:r>
              <w:rPr>
                <w:rFonts w:ascii="Arial" w:hAnsi="Arial" w:eastAsia="Arial" w:cs="Arial"/>
                <w:i/>
                <w:iCs/>
                <w:sz w:val="22"/>
                <w:szCs w:val="22"/>
                <w:bdr w:val="nil"/>
                <w:lang w:val="de-DE"/>
              </w:rPr>
              <w:t>§ </w:t>
            </w:r>
            <w:r w:rsidRPr="006353CB" w:rsidR="0078680C">
              <w:rPr>
                <w:rFonts w:ascii="Arial" w:hAnsi="Arial" w:cs="Arial"/>
                <w:i/>
                <w:sz w:val="22"/>
                <w:szCs w:val="22"/>
              </w:rPr>
              <w:fldChar w:fldCharType="begin"/>
            </w:r>
            <w:r w:rsidRPr="006353CB" w:rsidR="0078680C">
              <w:rPr>
                <w:rFonts w:ascii="Arial" w:hAnsi="Arial" w:cs="Arial"/>
                <w:i/>
                <w:sz w:val="22"/>
                <w:szCs w:val="22"/>
              </w:rPr>
              <w:instrText xml:space="preserve"> REF _Ref478550300 \r \h  \* MERGEFORMAT </w:instrText>
            </w:r>
            <w:r w:rsidRPr="006353CB" w:rsidR="0078680C">
              <w:rPr>
                <w:rFonts w:ascii="Arial" w:hAnsi="Arial" w:cs="Arial"/>
                <w:i/>
                <w:sz w:val="22"/>
                <w:szCs w:val="22"/>
              </w:rPr>
            </w:r>
            <w:r w:rsidRPr="006353CB" w:rsidR="0078680C">
              <w:rPr>
                <w:rFonts w:ascii="Arial" w:hAnsi="Arial" w:cs="Arial"/>
                <w:i/>
                <w:sz w:val="22"/>
                <w:szCs w:val="22"/>
              </w:rPr>
              <w:fldChar w:fldCharType="separate"/>
            </w:r>
            <w:r w:rsidRPr="00120F0D" w:rsidR="00120F0D">
              <w:rPr>
                <w:rFonts w:ascii="Arial" w:hAnsi="Arial" w:eastAsia="Arial" w:cs="Arial"/>
                <w:i/>
                <w:iCs/>
                <w:sz w:val="22"/>
                <w:szCs w:val="22"/>
                <w:bdr w:val="nil"/>
                <w:lang w:val="de-DE"/>
              </w:rPr>
              <w:t>40</w:t>
            </w:r>
            <w:r w:rsidRPr="006353CB" w:rsidR="0078680C">
              <w:rPr>
                <w:rFonts w:ascii="Arial" w:hAnsi="Arial" w:cs="Arial"/>
                <w:i/>
                <w:sz w:val="22"/>
                <w:szCs w:val="22"/>
              </w:rPr>
              <w:fldChar w:fldCharType="end"/>
            </w:r>
            <w:r w:rsidR="0078680C">
              <w:rPr>
                <w:rFonts w:ascii="Arial" w:hAnsi="Arial" w:eastAsia="Arial" w:cs="Arial"/>
                <w:i/>
                <w:iCs/>
                <w:sz w:val="22"/>
                <w:szCs w:val="22"/>
                <w:bdr w:val="nil"/>
                <w:lang w:val="de-DE"/>
              </w:rPr>
              <w:t xml:space="preserve"> der Empfehlung</w:t>
            </w:r>
          </w:p>
          <w:p w:rsidRPr="00C0685F" w:rsidR="00DD016F" w:rsidP="002F290F" w:rsidRDefault="0078680C" w14:paraId="665746D7" w14:textId="1169747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Da Angehörige von Gruppen, die Diskriminierung und Intoleranz ausgesetzt sind, häufig mit </w:t>
            </w:r>
            <w:r w:rsidR="00B210C0">
              <w:rPr>
                <w:rFonts w:ascii="Arial" w:hAnsi="Arial" w:eastAsia="Arial" w:cs="Arial"/>
                <w:sz w:val="22"/>
                <w:szCs w:val="22"/>
                <w:bdr w:val="nil"/>
                <w:lang w:val="de-DE"/>
              </w:rPr>
              <w:t xml:space="preserve">vielfältigen </w:t>
            </w:r>
            <w:r>
              <w:rPr>
                <w:rFonts w:ascii="Arial" w:hAnsi="Arial" w:eastAsia="Arial" w:cs="Arial"/>
                <w:sz w:val="22"/>
                <w:szCs w:val="22"/>
                <w:bdr w:val="nil"/>
                <w:lang w:val="de-DE"/>
              </w:rPr>
              <w:t xml:space="preserve">Problemen und Hürden konfrontiert sind (siehe </w:t>
            </w:r>
            <w:r w:rsidR="00786C47">
              <w:rPr>
                <w:rFonts w:ascii="Arial" w:hAnsi="Arial" w:eastAsia="Arial" w:cs="Arial"/>
                <w:sz w:val="22"/>
                <w:szCs w:val="22"/>
                <w:bdr w:val="nil"/>
                <w:lang w:val="de-DE"/>
              </w:rPr>
              <w:t>§ </w:t>
            </w:r>
            <w:r w:rsidRPr="006353CB">
              <w:rPr>
                <w:rFonts w:ascii="Arial" w:hAnsi="Arial" w:cs="Arial"/>
                <w:sz w:val="22"/>
                <w:szCs w:val="22"/>
                <w:lang w:val="en-GB"/>
              </w:rPr>
              <w:fldChar w:fldCharType="begin"/>
            </w:r>
            <w:r w:rsidRPr="00C0685F">
              <w:rPr>
                <w:rFonts w:ascii="Arial" w:hAnsi="Arial"/>
                <w:sz w:val="22"/>
                <w:lang w:val="de-DE"/>
              </w:rPr>
              <w:instrText xml:space="preserve"> REF _Ref476316591 \r \h  \* MERGEFORMAT </w:instrText>
            </w:r>
            <w:r w:rsidRPr="006353CB">
              <w:rPr>
                <w:rFonts w:ascii="Arial" w:hAnsi="Arial" w:cs="Arial"/>
                <w:sz w:val="22"/>
                <w:szCs w:val="22"/>
                <w:lang w:val="en-GB"/>
              </w:rPr>
            </w:r>
            <w:r w:rsidRPr="006353CB">
              <w:rPr>
                <w:rFonts w:ascii="Arial" w:hAnsi="Arial" w:cs="Arial"/>
                <w:sz w:val="22"/>
                <w:szCs w:val="22"/>
                <w:lang w:val="en-GB"/>
              </w:rPr>
              <w:fldChar w:fldCharType="separate"/>
            </w:r>
            <w:r w:rsidRPr="00120F0D" w:rsidR="00120F0D">
              <w:rPr>
                <w:rFonts w:ascii="Arial" w:hAnsi="Arial" w:eastAsia="Arial" w:cs="Arial"/>
                <w:sz w:val="22"/>
                <w:szCs w:val="22"/>
                <w:bdr w:val="nil"/>
                <w:lang w:val="de-DE"/>
              </w:rPr>
              <w:t>71</w:t>
            </w:r>
            <w:r w:rsidRPr="006353CB">
              <w:rPr>
                <w:rFonts w:ascii="Arial" w:hAnsi="Arial" w:cs="Arial"/>
                <w:sz w:val="22"/>
                <w:szCs w:val="22"/>
                <w:lang w:val="en-GB"/>
              </w:rPr>
              <w:fldChar w:fldCharType="end"/>
            </w:r>
            <w:r>
              <w:rPr>
                <w:rFonts w:ascii="Arial" w:hAnsi="Arial" w:eastAsia="Arial" w:cs="Arial"/>
                <w:sz w:val="22"/>
                <w:szCs w:val="22"/>
                <w:bdr w:val="nil"/>
                <w:lang w:val="de-DE"/>
              </w:rPr>
              <w:t xml:space="preserve"> des Begründungstextes), sollten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w:t>
            </w:r>
            <w:r w:rsidR="00B210C0">
              <w:rPr>
                <w:rFonts w:ascii="Arial" w:hAnsi="Arial" w:eastAsia="Arial" w:cs="Arial"/>
                <w:sz w:val="22"/>
                <w:szCs w:val="22"/>
                <w:bdr w:val="nil"/>
                <w:lang w:val="de-DE"/>
              </w:rPr>
              <w:t>ein besonderes Augenmerk darauf legen</w:t>
            </w:r>
            <w:r>
              <w:rPr>
                <w:rFonts w:ascii="Arial" w:hAnsi="Arial" w:eastAsia="Arial" w:cs="Arial"/>
                <w:sz w:val="22"/>
                <w:szCs w:val="22"/>
                <w:bdr w:val="nil"/>
                <w:lang w:val="de-DE"/>
              </w:rPr>
              <w:t xml:space="preserve">, dass sie für diese Gruppen leicht zugänglich sind. </w:t>
            </w:r>
          </w:p>
          <w:p w:rsidRPr="00C0685F" w:rsidR="00DD016F" w:rsidP="002F290F" w:rsidRDefault="0049113F" w14:paraId="3D458497" w14:textId="29E772A4">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Zur Erleichterung des</w:t>
            </w:r>
            <w:r w:rsidR="0078680C">
              <w:rPr>
                <w:rFonts w:ascii="Arial" w:hAnsi="Arial" w:eastAsia="Arial" w:cs="Arial"/>
                <w:sz w:val="22"/>
                <w:szCs w:val="22"/>
                <w:bdr w:val="nil"/>
                <w:lang w:val="de-DE"/>
              </w:rPr>
              <w:t xml:space="preserve"> </w:t>
            </w:r>
            <w:r w:rsidR="00B210C0">
              <w:rPr>
                <w:rFonts w:ascii="Arial" w:hAnsi="Arial" w:eastAsia="Arial" w:cs="Arial"/>
                <w:sz w:val="22"/>
                <w:szCs w:val="22"/>
                <w:bdr w:val="nil"/>
                <w:lang w:val="de-DE"/>
              </w:rPr>
              <w:t>Erstk</w:t>
            </w:r>
            <w:r w:rsidR="0078680C">
              <w:rPr>
                <w:rFonts w:ascii="Arial" w:hAnsi="Arial" w:eastAsia="Arial" w:cs="Arial"/>
                <w:sz w:val="22"/>
                <w:szCs w:val="22"/>
                <w:bdr w:val="nil"/>
                <w:lang w:val="de-DE"/>
              </w:rPr>
              <w:t>ontakt</w:t>
            </w:r>
            <w:r>
              <w:rPr>
                <w:rFonts w:ascii="Arial" w:hAnsi="Arial" w:eastAsia="Arial" w:cs="Arial"/>
                <w:sz w:val="22"/>
                <w:szCs w:val="22"/>
                <w:bdr w:val="nil"/>
                <w:lang w:val="de-DE"/>
              </w:rPr>
              <w:t>s</w:t>
            </w:r>
            <w:r w:rsidR="0078680C">
              <w:rPr>
                <w:rFonts w:ascii="Arial" w:hAnsi="Arial" w:eastAsia="Arial" w:cs="Arial"/>
                <w:sz w:val="22"/>
                <w:szCs w:val="22"/>
                <w:bdr w:val="nil"/>
                <w:lang w:val="de-DE"/>
              </w:rPr>
              <w:t xml:space="preserve"> sollten </w:t>
            </w:r>
            <w:r w:rsidR="00781974">
              <w:rPr>
                <w:rFonts w:ascii="Arial" w:hAnsi="Arial" w:eastAsia="Arial" w:cs="Arial"/>
                <w:sz w:val="22"/>
                <w:szCs w:val="22"/>
                <w:bdr w:val="nil"/>
                <w:lang w:val="de-DE"/>
              </w:rPr>
              <w:t>Gleichheitsstelle</w:t>
            </w:r>
            <w:r w:rsidR="0078680C">
              <w:rPr>
                <w:rFonts w:ascii="Arial" w:hAnsi="Arial" w:eastAsia="Arial" w:cs="Arial"/>
                <w:sz w:val="22"/>
                <w:szCs w:val="22"/>
                <w:bdr w:val="nil"/>
                <w:lang w:val="de-DE"/>
              </w:rPr>
              <w:t xml:space="preserve">n den Angehörigen von Gruppen, die Diskriminierung und Intoleranz ausgesetzt sind, </w:t>
            </w:r>
            <w:r w:rsidR="00B210C0">
              <w:rPr>
                <w:rFonts w:ascii="Arial" w:hAnsi="Arial" w:eastAsia="Arial" w:cs="Arial"/>
                <w:sz w:val="22"/>
                <w:szCs w:val="22"/>
                <w:bdr w:val="nil"/>
                <w:lang w:val="de-DE"/>
              </w:rPr>
              <w:t xml:space="preserve">verschiedene </w:t>
            </w:r>
            <w:r w:rsidR="0078680C">
              <w:rPr>
                <w:rFonts w:ascii="Arial" w:hAnsi="Arial" w:eastAsia="Arial" w:cs="Arial"/>
                <w:sz w:val="22"/>
                <w:szCs w:val="22"/>
                <w:bdr w:val="nil"/>
                <w:lang w:val="de-DE"/>
              </w:rPr>
              <w:t xml:space="preserve">und </w:t>
            </w:r>
            <w:r w:rsidR="00B210C0">
              <w:rPr>
                <w:rFonts w:ascii="Arial" w:hAnsi="Arial" w:eastAsia="Arial" w:cs="Arial"/>
                <w:sz w:val="22"/>
                <w:szCs w:val="22"/>
                <w:bdr w:val="nil"/>
                <w:lang w:val="de-DE"/>
              </w:rPr>
              <w:t xml:space="preserve">einfache Möglichkeiten für den Zugang zu </w:t>
            </w:r>
            <w:r w:rsidR="0078680C">
              <w:rPr>
                <w:rFonts w:ascii="Arial" w:hAnsi="Arial" w:eastAsia="Arial" w:cs="Arial"/>
                <w:sz w:val="22"/>
                <w:szCs w:val="22"/>
                <w:bdr w:val="nil"/>
                <w:lang w:val="de-DE"/>
              </w:rPr>
              <w:t xml:space="preserve">Informationen </w:t>
            </w:r>
            <w:r w:rsidR="00B210C0">
              <w:rPr>
                <w:rFonts w:ascii="Arial" w:hAnsi="Arial" w:eastAsia="Arial" w:cs="Arial"/>
                <w:sz w:val="22"/>
                <w:szCs w:val="22"/>
                <w:bdr w:val="nil"/>
                <w:lang w:val="de-DE"/>
              </w:rPr>
              <w:t>und zur</w:t>
            </w:r>
            <w:r>
              <w:rPr>
                <w:rFonts w:ascii="Arial" w:hAnsi="Arial" w:eastAsia="Arial" w:cs="Arial"/>
                <w:sz w:val="22"/>
                <w:szCs w:val="22"/>
                <w:bdr w:val="nil"/>
                <w:lang w:val="de-DE"/>
              </w:rPr>
              <w:t xml:space="preserve"> Aufnahme von</w:t>
            </w:r>
            <w:r w:rsidR="00B210C0">
              <w:rPr>
                <w:rFonts w:ascii="Arial" w:hAnsi="Arial" w:eastAsia="Arial" w:cs="Arial"/>
                <w:sz w:val="22"/>
                <w:szCs w:val="22"/>
                <w:bdr w:val="nil"/>
                <w:lang w:val="de-DE"/>
              </w:rPr>
              <w:t xml:space="preserve"> Kontakt</w:t>
            </w:r>
            <w:r>
              <w:rPr>
                <w:rFonts w:ascii="Arial" w:hAnsi="Arial" w:eastAsia="Arial" w:cs="Arial"/>
                <w:sz w:val="22"/>
                <w:szCs w:val="22"/>
                <w:bdr w:val="nil"/>
                <w:lang w:val="de-DE"/>
              </w:rPr>
              <w:t xml:space="preserve"> a</w:t>
            </w:r>
            <w:r w:rsidR="00B210C0">
              <w:rPr>
                <w:rFonts w:ascii="Arial" w:hAnsi="Arial" w:eastAsia="Arial" w:cs="Arial"/>
                <w:sz w:val="22"/>
                <w:szCs w:val="22"/>
                <w:bdr w:val="nil"/>
                <w:lang w:val="de-DE"/>
              </w:rPr>
              <w:t>nbieten</w:t>
            </w:r>
            <w:r w:rsidR="0078680C">
              <w:rPr>
                <w:rFonts w:ascii="Arial" w:hAnsi="Arial" w:eastAsia="Arial" w:cs="Arial"/>
                <w:sz w:val="22"/>
                <w:szCs w:val="22"/>
                <w:bdr w:val="nil"/>
                <w:lang w:val="de-DE"/>
              </w:rPr>
              <w:t xml:space="preserve">. </w:t>
            </w:r>
            <w:r w:rsidR="00B210C0">
              <w:rPr>
                <w:rFonts w:ascii="Arial" w:hAnsi="Arial" w:eastAsia="Arial" w:cs="Arial"/>
                <w:sz w:val="22"/>
                <w:szCs w:val="22"/>
                <w:bdr w:val="nil"/>
                <w:lang w:val="de-DE"/>
              </w:rPr>
              <w:t>Gut</w:t>
            </w:r>
            <w:r w:rsidR="0078680C">
              <w:rPr>
                <w:rFonts w:ascii="Arial" w:hAnsi="Arial" w:eastAsia="Arial" w:cs="Arial"/>
                <w:sz w:val="22"/>
                <w:szCs w:val="22"/>
                <w:bdr w:val="nil"/>
                <w:lang w:val="de-DE"/>
              </w:rPr>
              <w:t xml:space="preserve"> zugängliche Räumlichkeiten, </w:t>
            </w:r>
            <w:r w:rsidR="00B210C0">
              <w:rPr>
                <w:rFonts w:ascii="Arial" w:hAnsi="Arial" w:eastAsia="Arial" w:cs="Arial"/>
                <w:sz w:val="22"/>
                <w:szCs w:val="22"/>
                <w:bdr w:val="nil"/>
                <w:lang w:val="de-DE"/>
              </w:rPr>
              <w:t>Online</w:t>
            </w:r>
            <w:r w:rsidR="0078680C">
              <w:rPr>
                <w:rFonts w:ascii="Arial" w:hAnsi="Arial" w:eastAsia="Arial" w:cs="Arial"/>
                <w:sz w:val="22"/>
                <w:szCs w:val="22"/>
                <w:bdr w:val="nil"/>
                <w:lang w:val="de-DE"/>
              </w:rPr>
              <w:t xml:space="preserve">-, E-Mail- und Telefondienste sind in diesem Zusammenhang wesentliche Ressourcen. </w:t>
            </w:r>
          </w:p>
          <w:p w:rsidRPr="006C29B1" w:rsidR="00DD016F" w:rsidP="002F290F" w:rsidRDefault="0078680C" w14:paraId="2EFC7092" w14:textId="542CF873">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Es ist gleichermaßen wichtig, </w:t>
            </w:r>
            <w:r w:rsidR="0049113F">
              <w:rPr>
                <w:rFonts w:ascii="Arial" w:hAnsi="Arial" w:eastAsia="Arial" w:cs="Arial"/>
                <w:sz w:val="22"/>
                <w:szCs w:val="22"/>
                <w:bdr w:val="nil"/>
                <w:lang w:val="de-DE"/>
              </w:rPr>
              <w:t xml:space="preserve">in angemessenem Umfang </w:t>
            </w:r>
            <w:r w:rsidR="00B210C0">
              <w:rPr>
                <w:rFonts w:ascii="Arial" w:hAnsi="Arial" w:eastAsia="Arial" w:cs="Arial"/>
                <w:sz w:val="22"/>
                <w:szCs w:val="22"/>
                <w:bdr w:val="nil"/>
                <w:lang w:val="de-DE"/>
              </w:rPr>
              <w:t xml:space="preserve">lokale </w:t>
            </w:r>
            <w:r>
              <w:rPr>
                <w:rFonts w:ascii="Arial" w:hAnsi="Arial" w:eastAsia="Arial" w:cs="Arial"/>
                <w:sz w:val="22"/>
                <w:szCs w:val="22"/>
                <w:bdr w:val="nil"/>
                <w:lang w:val="de-DE"/>
              </w:rPr>
              <w:t xml:space="preserve">und/oder regionale </w:t>
            </w:r>
            <w:r w:rsidR="00B210C0">
              <w:rPr>
                <w:rFonts w:ascii="Arial" w:hAnsi="Arial" w:eastAsia="Arial" w:cs="Arial"/>
                <w:sz w:val="22"/>
                <w:szCs w:val="22"/>
                <w:bdr w:val="nil"/>
                <w:lang w:val="de-DE"/>
              </w:rPr>
              <w:t xml:space="preserve">Büros </w:t>
            </w:r>
            <w:r>
              <w:rPr>
                <w:rFonts w:ascii="Arial" w:hAnsi="Arial" w:eastAsia="Arial" w:cs="Arial"/>
                <w:sz w:val="22"/>
                <w:szCs w:val="22"/>
                <w:bdr w:val="nil"/>
                <w:lang w:val="de-DE"/>
              </w:rPr>
              <w:t xml:space="preserve">für eine dauerhafte Präsenz einzurichten, und/oder </w:t>
            </w:r>
            <w:r w:rsidR="0049113F">
              <w:rPr>
                <w:rFonts w:ascii="Arial" w:hAnsi="Arial" w:eastAsia="Arial" w:cs="Arial"/>
                <w:sz w:val="22"/>
                <w:szCs w:val="22"/>
                <w:bdr w:val="nil"/>
                <w:lang w:val="de-DE"/>
              </w:rPr>
              <w:t xml:space="preserve">im ganzen Land </w:t>
            </w:r>
            <w:r>
              <w:rPr>
                <w:rFonts w:ascii="Arial" w:hAnsi="Arial" w:eastAsia="Arial" w:cs="Arial"/>
                <w:sz w:val="22"/>
                <w:szCs w:val="22"/>
                <w:bdr w:val="nil"/>
                <w:lang w:val="de-DE"/>
              </w:rPr>
              <w:t xml:space="preserve">kommunale und/oder regionale Outreach-Initiativen für eine </w:t>
            </w:r>
            <w:r w:rsidR="00B210C0">
              <w:rPr>
                <w:rFonts w:ascii="Arial" w:hAnsi="Arial" w:eastAsia="Arial" w:cs="Arial"/>
                <w:sz w:val="22"/>
                <w:szCs w:val="22"/>
                <w:bdr w:val="nil"/>
                <w:lang w:val="de-DE"/>
              </w:rPr>
              <w:t xml:space="preserve">regelmäßige </w:t>
            </w:r>
            <w:r>
              <w:rPr>
                <w:rFonts w:ascii="Arial" w:hAnsi="Arial" w:eastAsia="Arial" w:cs="Arial"/>
                <w:sz w:val="22"/>
                <w:szCs w:val="22"/>
                <w:bdr w:val="nil"/>
                <w:lang w:val="de-DE"/>
              </w:rPr>
              <w:t xml:space="preserve">temporäre Präsenz bei den Gruppen </w:t>
            </w:r>
            <w:r w:rsidR="00B210C0">
              <w:rPr>
                <w:rFonts w:ascii="Arial" w:hAnsi="Arial" w:eastAsia="Arial" w:cs="Arial"/>
                <w:sz w:val="22"/>
                <w:szCs w:val="22"/>
                <w:bdr w:val="nil"/>
                <w:lang w:val="de-DE"/>
              </w:rPr>
              <w:t>zu entwickeln</w:t>
            </w:r>
            <w:r>
              <w:rPr>
                <w:rFonts w:ascii="Arial" w:hAnsi="Arial" w:eastAsia="Arial" w:cs="Arial"/>
                <w:sz w:val="22"/>
                <w:szCs w:val="22"/>
                <w:bdr w:val="nil"/>
                <w:lang w:val="de-DE"/>
              </w:rPr>
              <w:t xml:space="preserve">, die Diskriminierung und Intoleranz ausgesetzt sind. Dies ist besonders dann wichtig, wenn </w:t>
            </w:r>
            <w:r w:rsidR="00B210C0">
              <w:rPr>
                <w:rFonts w:ascii="Arial" w:hAnsi="Arial" w:eastAsia="Arial" w:cs="Arial"/>
                <w:sz w:val="22"/>
                <w:szCs w:val="22"/>
                <w:bdr w:val="nil"/>
                <w:lang w:val="de-DE"/>
              </w:rPr>
              <w:t xml:space="preserve">solche </w:t>
            </w:r>
            <w:r>
              <w:rPr>
                <w:rFonts w:ascii="Arial" w:hAnsi="Arial" w:eastAsia="Arial" w:cs="Arial"/>
                <w:sz w:val="22"/>
                <w:szCs w:val="22"/>
                <w:bdr w:val="nil"/>
                <w:lang w:val="de-DE"/>
              </w:rPr>
              <w:t xml:space="preserve">Gruppen in entlegenen Gebieten leben, und in Mitgliedstaaten mit einem großen Territorium. Diese Aktivitäten könnten auf Regionen und Kommunen </w:t>
            </w:r>
            <w:r w:rsidR="00B210C0">
              <w:rPr>
                <w:rFonts w:ascii="Arial" w:hAnsi="Arial" w:eastAsia="Arial" w:cs="Arial"/>
                <w:sz w:val="22"/>
                <w:szCs w:val="22"/>
                <w:bdr w:val="nil"/>
                <w:lang w:val="de-DE"/>
              </w:rPr>
              <w:t>konzentriert werden</w:t>
            </w:r>
            <w:r>
              <w:rPr>
                <w:rFonts w:ascii="Arial" w:hAnsi="Arial" w:eastAsia="Arial" w:cs="Arial"/>
                <w:sz w:val="22"/>
                <w:szCs w:val="22"/>
                <w:bdr w:val="nil"/>
                <w:lang w:val="de-DE"/>
              </w:rPr>
              <w:t xml:space="preserve">, die eine </w:t>
            </w:r>
            <w:r w:rsidR="00B210C0">
              <w:rPr>
                <w:rFonts w:ascii="Arial" w:hAnsi="Arial" w:eastAsia="Arial" w:cs="Arial"/>
                <w:sz w:val="22"/>
                <w:szCs w:val="22"/>
                <w:bdr w:val="nil"/>
                <w:lang w:val="de-DE"/>
              </w:rPr>
              <w:t>starke</w:t>
            </w:r>
            <w:r>
              <w:rPr>
                <w:rFonts w:ascii="Arial" w:hAnsi="Arial" w:eastAsia="Arial" w:cs="Arial"/>
                <w:sz w:val="22"/>
                <w:szCs w:val="22"/>
                <w:bdr w:val="nil"/>
                <w:lang w:val="de-DE"/>
              </w:rPr>
              <w:t xml:space="preserve"> Präsenz von Gruppen </w:t>
            </w:r>
            <w:r w:rsidR="00B210C0">
              <w:rPr>
                <w:rFonts w:ascii="Arial" w:hAnsi="Arial" w:eastAsia="Arial" w:cs="Arial"/>
                <w:sz w:val="22"/>
                <w:szCs w:val="22"/>
                <w:bdr w:val="nil"/>
                <w:lang w:val="de-DE"/>
              </w:rPr>
              <w:t>aufweisen</w:t>
            </w:r>
            <w:r>
              <w:rPr>
                <w:rFonts w:ascii="Arial" w:hAnsi="Arial" w:eastAsia="Arial" w:cs="Arial"/>
                <w:sz w:val="22"/>
                <w:szCs w:val="22"/>
                <w:bdr w:val="nil"/>
                <w:lang w:val="de-DE"/>
              </w:rPr>
              <w:t>, die Diskriminierung und Intoleranz</w:t>
            </w:r>
            <w:r w:rsidR="00B210C0">
              <w:rPr>
                <w:rFonts w:ascii="Arial" w:hAnsi="Arial" w:eastAsia="Arial" w:cs="Arial"/>
                <w:sz w:val="22"/>
                <w:szCs w:val="22"/>
                <w:bdr w:val="nil"/>
                <w:lang w:val="de-DE"/>
              </w:rPr>
              <w:t xml:space="preserve"> ausgesetzt sind, </w:t>
            </w:r>
            <w:r>
              <w:rPr>
                <w:rFonts w:ascii="Arial" w:hAnsi="Arial" w:eastAsia="Arial" w:cs="Arial"/>
                <w:sz w:val="22"/>
                <w:szCs w:val="22"/>
                <w:bdr w:val="nil"/>
                <w:lang w:val="de-DE"/>
              </w:rPr>
              <w:t xml:space="preserve">oder </w:t>
            </w:r>
            <w:r w:rsidR="00B210C0">
              <w:rPr>
                <w:rFonts w:ascii="Arial" w:hAnsi="Arial" w:eastAsia="Arial" w:cs="Arial"/>
                <w:sz w:val="22"/>
                <w:szCs w:val="22"/>
                <w:bdr w:val="nil"/>
                <w:lang w:val="de-DE"/>
              </w:rPr>
              <w:t>in denen ein hohes Maß an</w:t>
            </w:r>
            <w:r>
              <w:rPr>
                <w:rFonts w:ascii="Arial" w:hAnsi="Arial" w:eastAsia="Arial" w:cs="Arial"/>
                <w:sz w:val="22"/>
                <w:szCs w:val="22"/>
                <w:bdr w:val="nil"/>
                <w:lang w:val="de-DE"/>
              </w:rPr>
              <w:t xml:space="preserve"> Diskriminierung und Intoleranz </w:t>
            </w:r>
            <w:r w:rsidR="00B210C0">
              <w:rPr>
                <w:rFonts w:ascii="Arial" w:hAnsi="Arial" w:eastAsia="Arial" w:cs="Arial"/>
                <w:sz w:val="22"/>
                <w:szCs w:val="22"/>
                <w:bdr w:val="nil"/>
                <w:lang w:val="de-DE"/>
              </w:rPr>
              <w:t>herrscht</w:t>
            </w:r>
            <w:r>
              <w:rPr>
                <w:rFonts w:ascii="Arial" w:hAnsi="Arial" w:eastAsia="Arial" w:cs="Arial"/>
                <w:sz w:val="22"/>
                <w:szCs w:val="22"/>
                <w:bdr w:val="nil"/>
                <w:lang w:val="de-DE"/>
              </w:rPr>
              <w:t xml:space="preserve">. Für Angehörige </w:t>
            </w:r>
            <w:r w:rsidR="00B210C0">
              <w:rPr>
                <w:rFonts w:ascii="Arial" w:hAnsi="Arial" w:eastAsia="Arial" w:cs="Arial"/>
                <w:sz w:val="22"/>
                <w:szCs w:val="22"/>
                <w:bdr w:val="nil"/>
                <w:lang w:val="de-DE"/>
              </w:rPr>
              <w:t xml:space="preserve">solcher </w:t>
            </w:r>
            <w:r>
              <w:rPr>
                <w:rFonts w:ascii="Arial" w:hAnsi="Arial" w:eastAsia="Arial" w:cs="Arial"/>
                <w:sz w:val="22"/>
                <w:szCs w:val="22"/>
                <w:bdr w:val="nil"/>
                <w:lang w:val="de-DE"/>
              </w:rPr>
              <w:t xml:space="preserve">Gruppen, die nicht in der Nähe von zentralen, regionalen oder kommunalen </w:t>
            </w:r>
            <w:r w:rsidR="00B210C0">
              <w:rPr>
                <w:rFonts w:ascii="Arial" w:hAnsi="Arial" w:eastAsia="Arial" w:cs="Arial"/>
                <w:sz w:val="22"/>
                <w:szCs w:val="22"/>
                <w:bdr w:val="nil"/>
                <w:lang w:val="de-DE"/>
              </w:rPr>
              <w:t xml:space="preserve">Büros </w:t>
            </w:r>
            <w:r>
              <w:rPr>
                <w:rFonts w:ascii="Arial" w:hAnsi="Arial" w:eastAsia="Arial" w:cs="Arial"/>
                <w:sz w:val="22"/>
                <w:szCs w:val="22"/>
                <w:bdr w:val="nil"/>
                <w:lang w:val="de-DE"/>
              </w:rPr>
              <w:t xml:space="preserve">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leben, ist es darüber hinaus wichtig, mit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49113F">
              <w:rPr>
                <w:rFonts w:ascii="Arial" w:hAnsi="Arial" w:eastAsia="Arial" w:cs="Arial"/>
                <w:sz w:val="22"/>
                <w:szCs w:val="22"/>
                <w:bdr w:val="nil"/>
                <w:lang w:val="de-DE"/>
              </w:rPr>
              <w:t xml:space="preserve">online </w:t>
            </w:r>
            <w:r>
              <w:rPr>
                <w:rFonts w:ascii="Arial" w:hAnsi="Arial" w:eastAsia="Arial" w:cs="Arial"/>
                <w:sz w:val="22"/>
                <w:szCs w:val="22"/>
                <w:bdr w:val="nil"/>
                <w:lang w:val="de-DE"/>
              </w:rPr>
              <w:t xml:space="preserve">in Kontakt treten und Technologien </w:t>
            </w:r>
            <w:r w:rsidR="00B210C0">
              <w:rPr>
                <w:rFonts w:ascii="Arial" w:hAnsi="Arial" w:eastAsia="Arial" w:cs="Arial"/>
                <w:sz w:val="22"/>
                <w:szCs w:val="22"/>
                <w:bdr w:val="nil"/>
                <w:lang w:val="de-DE"/>
              </w:rPr>
              <w:t xml:space="preserve">wie z.B. </w:t>
            </w:r>
            <w:r>
              <w:rPr>
                <w:rFonts w:ascii="Arial" w:hAnsi="Arial" w:eastAsia="Arial" w:cs="Arial"/>
                <w:sz w:val="22"/>
                <w:szCs w:val="22"/>
                <w:bdr w:val="nil"/>
                <w:lang w:val="de-DE"/>
              </w:rPr>
              <w:t>Video</w:t>
            </w:r>
            <w:r w:rsidR="00B210C0">
              <w:rPr>
                <w:rFonts w:ascii="Arial" w:hAnsi="Arial" w:eastAsia="Arial" w:cs="Arial"/>
                <w:sz w:val="22"/>
                <w:szCs w:val="22"/>
                <w:bdr w:val="nil"/>
                <w:lang w:val="de-DE"/>
              </w:rPr>
              <w:t>konferenzen nutzen zu können</w:t>
            </w:r>
            <w:r>
              <w:rPr>
                <w:rFonts w:ascii="Arial" w:hAnsi="Arial" w:eastAsia="Arial" w:cs="Arial"/>
                <w:sz w:val="22"/>
                <w:szCs w:val="22"/>
                <w:bdr w:val="nil"/>
                <w:lang w:val="de-DE"/>
              </w:rPr>
              <w:t xml:space="preserve">. </w:t>
            </w:r>
          </w:p>
          <w:p w:rsidRPr="006C29B1" w:rsidR="00DD016F" w:rsidP="002F290F" w:rsidRDefault="0078680C" w14:paraId="2577511B" w14:textId="6B4F3159">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lastRenderedPageBreak/>
              <w:t xml:space="preserve">Menschen, die (mehrfache) Diskriminierung und Intoleranz erleben, entstammen vielfältigen Gruppen mit </w:t>
            </w:r>
            <w:r w:rsidR="0070629D">
              <w:rPr>
                <w:rFonts w:ascii="Arial" w:hAnsi="Arial" w:eastAsia="Arial" w:cs="Arial"/>
                <w:sz w:val="22"/>
                <w:szCs w:val="22"/>
                <w:bdr w:val="nil"/>
                <w:lang w:val="de-DE"/>
              </w:rPr>
              <w:t xml:space="preserve">ihren </w:t>
            </w:r>
            <w:r>
              <w:rPr>
                <w:rFonts w:ascii="Arial" w:hAnsi="Arial" w:eastAsia="Arial" w:cs="Arial"/>
                <w:sz w:val="22"/>
                <w:szCs w:val="22"/>
                <w:bdr w:val="nil"/>
                <w:lang w:val="de-DE"/>
              </w:rPr>
              <w:t xml:space="preserve">eigenen spezifischen Bedürfnissen und </w:t>
            </w:r>
            <w:r w:rsidR="0070629D">
              <w:rPr>
                <w:rFonts w:ascii="Arial" w:hAnsi="Arial" w:eastAsia="Arial" w:cs="Arial"/>
                <w:sz w:val="22"/>
                <w:szCs w:val="22"/>
                <w:bdr w:val="nil"/>
                <w:lang w:val="de-DE"/>
              </w:rPr>
              <w:t>Charakteristika</w:t>
            </w:r>
            <w:r>
              <w:rPr>
                <w:rFonts w:ascii="Arial" w:hAnsi="Arial" w:eastAsia="Arial" w:cs="Arial"/>
                <w:sz w:val="22"/>
                <w:szCs w:val="22"/>
                <w:bdr w:val="nil"/>
                <w:lang w:val="de-DE"/>
              </w:rPr>
              <w:t xml:space="preserve">. Einige beherrschen </w:t>
            </w:r>
            <w:r w:rsidR="0070629D">
              <w:rPr>
                <w:rFonts w:ascii="Arial" w:hAnsi="Arial" w:eastAsia="Arial" w:cs="Arial"/>
                <w:sz w:val="22"/>
                <w:szCs w:val="22"/>
                <w:bdr w:val="nil"/>
                <w:lang w:val="de-DE"/>
              </w:rPr>
              <w:t>möglicherweise</w:t>
            </w:r>
            <w:r>
              <w:rPr>
                <w:rFonts w:ascii="Arial" w:hAnsi="Arial" w:eastAsia="Arial" w:cs="Arial"/>
                <w:sz w:val="22"/>
                <w:szCs w:val="22"/>
                <w:bdr w:val="nil"/>
                <w:lang w:val="de-DE"/>
              </w:rPr>
              <w:t xml:space="preserve"> nicht die Amtssprache(n) des Landes, si</w:t>
            </w:r>
            <w:r w:rsidR="0070629D">
              <w:rPr>
                <w:rFonts w:ascii="Arial" w:hAnsi="Arial" w:eastAsia="Arial" w:cs="Arial"/>
                <w:sz w:val="22"/>
                <w:szCs w:val="22"/>
                <w:bdr w:val="nil"/>
                <w:lang w:val="de-DE"/>
              </w:rPr>
              <w:t>nd</w:t>
            </w:r>
            <w:r>
              <w:rPr>
                <w:rFonts w:ascii="Arial" w:hAnsi="Arial" w:eastAsia="Arial" w:cs="Arial"/>
                <w:sz w:val="22"/>
                <w:szCs w:val="22"/>
                <w:bdr w:val="nil"/>
                <w:lang w:val="de-DE"/>
              </w:rPr>
              <w:t xml:space="preserve"> Analphabeten oder haben Angst, mit Behörden in Kontakt zu treten, oder können die</w:t>
            </w:r>
            <w:r w:rsidR="0070629D">
              <w:rPr>
                <w:rFonts w:ascii="Arial" w:hAnsi="Arial" w:eastAsia="Arial" w:cs="Arial"/>
                <w:sz w:val="22"/>
                <w:szCs w:val="22"/>
                <w:bdr w:val="nil"/>
                <w:lang w:val="de-DE"/>
              </w:rPr>
              <w:t xml:space="preserve"> Gleichheitsstelle </w:t>
            </w:r>
            <w:r>
              <w:rPr>
                <w:rFonts w:ascii="Arial" w:hAnsi="Arial" w:eastAsia="Arial" w:cs="Arial"/>
                <w:sz w:val="22"/>
                <w:szCs w:val="22"/>
                <w:bdr w:val="nil"/>
                <w:lang w:val="de-DE"/>
              </w:rPr>
              <w:t xml:space="preserve">nicht zu den normalen Geschäftszeiten kontaktieren. Ein </w:t>
            </w:r>
            <w:r w:rsidR="0070629D">
              <w:rPr>
                <w:rFonts w:ascii="Arial" w:hAnsi="Arial" w:eastAsia="Arial" w:cs="Arial"/>
                <w:sz w:val="22"/>
                <w:szCs w:val="22"/>
                <w:bdr w:val="nil"/>
                <w:lang w:val="de-DE"/>
              </w:rPr>
              <w:t>Schlüssele</w:t>
            </w:r>
            <w:r>
              <w:rPr>
                <w:rFonts w:ascii="Arial" w:hAnsi="Arial" w:eastAsia="Arial" w:cs="Arial"/>
                <w:sz w:val="22"/>
                <w:szCs w:val="22"/>
                <w:bdr w:val="nil"/>
                <w:lang w:val="de-DE"/>
              </w:rPr>
              <w:t>lement</w:t>
            </w:r>
            <w:r w:rsidR="0070629D">
              <w:rPr>
                <w:rFonts w:ascii="Arial" w:hAnsi="Arial" w:eastAsia="Arial" w:cs="Arial"/>
                <w:sz w:val="22"/>
                <w:szCs w:val="22"/>
                <w:bdr w:val="nil"/>
                <w:lang w:val="de-DE"/>
              </w:rPr>
              <w:t xml:space="preserve"> für die Berücksichtigung dieser</w:t>
            </w:r>
            <w:r>
              <w:rPr>
                <w:rFonts w:ascii="Arial" w:hAnsi="Arial" w:eastAsia="Arial" w:cs="Arial"/>
                <w:sz w:val="22"/>
                <w:szCs w:val="22"/>
                <w:bdr w:val="nil"/>
                <w:lang w:val="de-DE"/>
              </w:rPr>
              <w:t xml:space="preserve"> vielfältigen Bed</w:t>
            </w:r>
            <w:r w:rsidR="0070629D">
              <w:rPr>
                <w:rFonts w:ascii="Arial" w:hAnsi="Arial" w:eastAsia="Arial" w:cs="Arial"/>
                <w:sz w:val="22"/>
                <w:szCs w:val="22"/>
                <w:bdr w:val="nil"/>
                <w:lang w:val="de-DE"/>
              </w:rPr>
              <w:t>ürfnisse</w:t>
            </w:r>
            <w:r>
              <w:rPr>
                <w:rFonts w:ascii="Arial" w:hAnsi="Arial" w:eastAsia="Arial" w:cs="Arial"/>
                <w:sz w:val="22"/>
                <w:szCs w:val="22"/>
                <w:bdr w:val="nil"/>
                <w:lang w:val="de-DE"/>
              </w:rPr>
              <w:t xml:space="preserve"> ist e</w:t>
            </w:r>
            <w:r w:rsidR="0070629D">
              <w:rPr>
                <w:rFonts w:ascii="Arial" w:hAnsi="Arial" w:eastAsia="Arial" w:cs="Arial"/>
                <w:sz w:val="22"/>
                <w:szCs w:val="22"/>
                <w:bdr w:val="nil"/>
                <w:lang w:val="de-DE"/>
              </w:rPr>
              <w:t xml:space="preserve">s, dass die Gleichheitsstelle in ihren </w:t>
            </w:r>
            <w:r>
              <w:rPr>
                <w:rFonts w:ascii="Arial" w:hAnsi="Arial" w:eastAsia="Arial" w:cs="Arial"/>
                <w:sz w:val="22"/>
                <w:szCs w:val="22"/>
                <w:bdr w:val="nil"/>
                <w:lang w:val="de-DE"/>
              </w:rPr>
              <w:t xml:space="preserve">Verfahren und </w:t>
            </w:r>
            <w:r w:rsidR="0070629D">
              <w:rPr>
                <w:rFonts w:ascii="Arial" w:hAnsi="Arial" w:eastAsia="Arial" w:cs="Arial"/>
                <w:sz w:val="22"/>
                <w:szCs w:val="22"/>
                <w:bdr w:val="nil"/>
                <w:lang w:val="de-DE"/>
              </w:rPr>
              <w:t xml:space="preserve">ihrer </w:t>
            </w:r>
            <w:r>
              <w:rPr>
                <w:rFonts w:ascii="Arial" w:hAnsi="Arial" w:eastAsia="Arial" w:cs="Arial"/>
                <w:sz w:val="22"/>
                <w:szCs w:val="22"/>
                <w:bdr w:val="nil"/>
                <w:lang w:val="de-DE"/>
              </w:rPr>
              <w:t xml:space="preserve">Praxis </w:t>
            </w:r>
            <w:r w:rsidR="0070629D">
              <w:rPr>
                <w:rFonts w:ascii="Arial" w:hAnsi="Arial" w:eastAsia="Arial" w:cs="Arial"/>
                <w:sz w:val="22"/>
                <w:szCs w:val="22"/>
                <w:bdr w:val="nil"/>
                <w:lang w:val="de-DE"/>
              </w:rPr>
              <w:t>flexibel ist</w:t>
            </w:r>
            <w:r>
              <w:rPr>
                <w:rFonts w:ascii="Arial" w:hAnsi="Arial" w:eastAsia="Arial" w:cs="Arial"/>
                <w:sz w:val="22"/>
                <w:szCs w:val="22"/>
                <w:bdr w:val="nil"/>
                <w:lang w:val="de-DE"/>
              </w:rPr>
              <w:t xml:space="preserve">.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sollten aus diesem Grund die </w:t>
            </w:r>
            <w:r w:rsidR="0070629D">
              <w:rPr>
                <w:rFonts w:ascii="Arial" w:hAnsi="Arial" w:eastAsia="Arial" w:cs="Arial"/>
                <w:sz w:val="22"/>
                <w:szCs w:val="22"/>
                <w:bdr w:val="nil"/>
                <w:lang w:val="de-DE"/>
              </w:rPr>
              <w:t xml:space="preserve">sich verändernden </w:t>
            </w:r>
            <w:r>
              <w:rPr>
                <w:rFonts w:ascii="Arial" w:hAnsi="Arial" w:eastAsia="Arial" w:cs="Arial"/>
                <w:sz w:val="22"/>
                <w:szCs w:val="22"/>
                <w:bdr w:val="nil"/>
                <w:lang w:val="de-DE"/>
              </w:rPr>
              <w:t xml:space="preserve">Bedürfnisse der unterschiedlichen Gruppen, die Diskriminierung und Intoleranz ausgesetzt sind, analysieren und ein Verfahren entwickeln, das diesen Bedürfnissen </w:t>
            </w:r>
            <w:r w:rsidR="0070629D">
              <w:rPr>
                <w:rFonts w:ascii="Arial" w:hAnsi="Arial" w:eastAsia="Arial" w:cs="Arial"/>
                <w:sz w:val="22"/>
                <w:szCs w:val="22"/>
                <w:bdr w:val="nil"/>
                <w:lang w:val="de-DE"/>
              </w:rPr>
              <w:t xml:space="preserve">von </w:t>
            </w:r>
            <w:r>
              <w:rPr>
                <w:rFonts w:ascii="Arial" w:hAnsi="Arial" w:eastAsia="Arial" w:cs="Arial"/>
                <w:sz w:val="22"/>
                <w:szCs w:val="22"/>
                <w:bdr w:val="nil"/>
                <w:lang w:val="de-DE"/>
              </w:rPr>
              <w:t xml:space="preserve">der ersten Kontaktaufnahme </w:t>
            </w:r>
            <w:r w:rsidR="0070629D">
              <w:rPr>
                <w:rFonts w:ascii="Arial" w:hAnsi="Arial" w:eastAsia="Arial" w:cs="Arial"/>
                <w:sz w:val="22"/>
                <w:szCs w:val="22"/>
                <w:bdr w:val="nil"/>
                <w:lang w:val="de-DE"/>
              </w:rPr>
              <w:t xml:space="preserve">an </w:t>
            </w:r>
            <w:r>
              <w:rPr>
                <w:rFonts w:ascii="Arial" w:hAnsi="Arial" w:eastAsia="Arial" w:cs="Arial"/>
                <w:sz w:val="22"/>
                <w:szCs w:val="22"/>
                <w:bdr w:val="nil"/>
                <w:lang w:val="de-DE"/>
              </w:rPr>
              <w:t xml:space="preserve">in </w:t>
            </w:r>
            <w:r w:rsidR="0070629D">
              <w:rPr>
                <w:rFonts w:ascii="Arial" w:hAnsi="Arial" w:eastAsia="Arial" w:cs="Arial"/>
                <w:sz w:val="22"/>
                <w:szCs w:val="22"/>
                <w:bdr w:val="nil"/>
                <w:lang w:val="de-DE"/>
              </w:rPr>
              <w:t xml:space="preserve">angemessener </w:t>
            </w:r>
            <w:r>
              <w:rPr>
                <w:rFonts w:ascii="Arial" w:hAnsi="Arial" w:eastAsia="Arial" w:cs="Arial"/>
                <w:sz w:val="22"/>
                <w:szCs w:val="22"/>
                <w:bdr w:val="nil"/>
                <w:lang w:val="de-DE"/>
              </w:rPr>
              <w:t>Weise Rechnung trägt. Beispiele für solche Anpassung</w:t>
            </w:r>
            <w:r w:rsidR="0070629D">
              <w:rPr>
                <w:rFonts w:ascii="Arial" w:hAnsi="Arial" w:eastAsia="Arial" w:cs="Arial"/>
                <w:sz w:val="22"/>
                <w:szCs w:val="22"/>
                <w:bdr w:val="nil"/>
                <w:lang w:val="de-DE"/>
              </w:rPr>
              <w:t xml:space="preserve">en sind </w:t>
            </w:r>
            <w:r>
              <w:rPr>
                <w:rFonts w:ascii="Arial" w:hAnsi="Arial" w:eastAsia="Arial" w:cs="Arial"/>
                <w:sz w:val="22"/>
                <w:szCs w:val="22"/>
                <w:bdr w:val="nil"/>
                <w:lang w:val="de-DE"/>
              </w:rPr>
              <w:t xml:space="preserve">die </w:t>
            </w:r>
            <w:r w:rsidR="0070629D">
              <w:rPr>
                <w:rFonts w:ascii="Arial" w:hAnsi="Arial" w:eastAsia="Arial" w:cs="Arial"/>
                <w:sz w:val="22"/>
                <w:szCs w:val="22"/>
                <w:bdr w:val="nil"/>
                <w:lang w:val="de-DE"/>
              </w:rPr>
              <w:t xml:space="preserve">Schaffung der </w:t>
            </w:r>
            <w:r>
              <w:rPr>
                <w:rFonts w:ascii="Arial" w:hAnsi="Arial" w:eastAsia="Arial" w:cs="Arial"/>
                <w:sz w:val="22"/>
                <w:szCs w:val="22"/>
                <w:bdr w:val="nil"/>
                <w:lang w:val="de-DE"/>
              </w:rPr>
              <w:t xml:space="preserve">Möglichkeit, in verschiedenen Sprachen mit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zu kommunizieren, persönliche</w:t>
            </w:r>
            <w:r w:rsidR="0070629D">
              <w:rPr>
                <w:rFonts w:ascii="Arial" w:hAnsi="Arial" w:eastAsia="Arial" w:cs="Arial"/>
                <w:sz w:val="22"/>
                <w:szCs w:val="22"/>
                <w:bdr w:val="nil"/>
                <w:lang w:val="de-DE"/>
              </w:rPr>
              <w:t>n</w:t>
            </w:r>
            <w:r>
              <w:rPr>
                <w:rFonts w:ascii="Arial" w:hAnsi="Arial" w:eastAsia="Arial" w:cs="Arial"/>
                <w:sz w:val="22"/>
                <w:szCs w:val="22"/>
                <w:bdr w:val="nil"/>
                <w:lang w:val="de-DE"/>
              </w:rPr>
              <w:t xml:space="preserve"> Kontakt und mündliche Kommunikation</w:t>
            </w:r>
            <w:r w:rsidR="0070629D">
              <w:rPr>
                <w:rFonts w:ascii="Arial" w:hAnsi="Arial" w:eastAsia="Arial" w:cs="Arial"/>
                <w:sz w:val="22"/>
                <w:szCs w:val="22"/>
                <w:bdr w:val="nil"/>
                <w:lang w:val="de-DE"/>
              </w:rPr>
              <w:t xml:space="preserve"> anzubieten</w:t>
            </w:r>
            <w:r>
              <w:rPr>
                <w:rFonts w:ascii="Arial" w:hAnsi="Arial" w:eastAsia="Arial" w:cs="Arial"/>
                <w:sz w:val="22"/>
                <w:szCs w:val="22"/>
                <w:bdr w:val="nil"/>
                <w:lang w:val="de-DE"/>
              </w:rPr>
              <w:t xml:space="preserve">, sich mit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in einem vertrauens</w:t>
            </w:r>
            <w:r w:rsidR="00693429">
              <w:rPr>
                <w:rFonts w:ascii="Arial" w:hAnsi="Arial" w:eastAsia="Arial" w:cs="Arial"/>
                <w:sz w:val="22"/>
                <w:szCs w:val="22"/>
                <w:bdr w:val="nil"/>
                <w:lang w:val="de-DE"/>
              </w:rPr>
              <w:t>erweckenden</w:t>
            </w:r>
            <w:r>
              <w:rPr>
                <w:rFonts w:ascii="Arial" w:hAnsi="Arial" w:eastAsia="Arial" w:cs="Arial"/>
                <w:sz w:val="22"/>
                <w:szCs w:val="22"/>
                <w:bdr w:val="nil"/>
                <w:lang w:val="de-DE"/>
              </w:rPr>
              <w:t xml:space="preserve"> Umfeld treffen</w:t>
            </w:r>
            <w:r w:rsidR="0070629D">
              <w:rPr>
                <w:rFonts w:ascii="Arial" w:hAnsi="Arial" w:eastAsia="Arial" w:cs="Arial"/>
                <w:sz w:val="22"/>
                <w:szCs w:val="22"/>
                <w:bdr w:val="nil"/>
                <w:lang w:val="de-DE"/>
              </w:rPr>
              <w:t xml:space="preserve"> zu können</w:t>
            </w:r>
            <w:r>
              <w:rPr>
                <w:rFonts w:ascii="Arial" w:hAnsi="Arial" w:eastAsia="Arial" w:cs="Arial"/>
                <w:sz w:val="22"/>
                <w:szCs w:val="22"/>
                <w:bdr w:val="nil"/>
                <w:lang w:val="de-DE"/>
              </w:rPr>
              <w:t xml:space="preserve">, in gewissem Maße außerhalb der normalen Geschäftszeiten erreichbar zu sein und das Angebot einer Kinderbetreuung, während die Eltern Gespräche führen. Die Mitarbeiter sollten diese Hürden und </w:t>
            </w:r>
            <w:r w:rsidR="0098477D">
              <w:rPr>
                <w:rFonts w:ascii="Arial" w:hAnsi="Arial" w:eastAsia="Arial" w:cs="Arial"/>
                <w:sz w:val="22"/>
                <w:szCs w:val="22"/>
                <w:bdr w:val="nil"/>
                <w:lang w:val="de-DE"/>
              </w:rPr>
              <w:t xml:space="preserve">Charakteristika </w:t>
            </w:r>
            <w:r>
              <w:rPr>
                <w:rFonts w:ascii="Arial" w:hAnsi="Arial" w:eastAsia="Arial" w:cs="Arial"/>
                <w:sz w:val="22"/>
                <w:szCs w:val="22"/>
                <w:bdr w:val="nil"/>
                <w:lang w:val="de-DE"/>
              </w:rPr>
              <w:t>kennen,</w:t>
            </w:r>
            <w:r w:rsidR="00693429">
              <w:rPr>
                <w:rFonts w:ascii="Arial" w:hAnsi="Arial" w:eastAsia="Arial" w:cs="Arial"/>
                <w:sz w:val="22"/>
                <w:szCs w:val="22"/>
                <w:bdr w:val="nil"/>
                <w:lang w:val="de-DE"/>
              </w:rPr>
              <w:t xml:space="preserve"> dafür aufgeschlossen</w:t>
            </w:r>
            <w:r>
              <w:rPr>
                <w:rFonts w:ascii="Arial" w:hAnsi="Arial" w:eastAsia="Arial" w:cs="Arial"/>
                <w:sz w:val="22"/>
                <w:szCs w:val="22"/>
                <w:bdr w:val="nil"/>
                <w:lang w:val="de-DE"/>
              </w:rPr>
              <w:t xml:space="preserve"> sein, die spezifischen Erfordernisse jeder Person zu prüfen, die Diskriminierung und Intoleranz ausgesetzt ist, und bereit sein, ab dem ersten Kontakt die erforderlichen Anpassungen vorzunehmen.</w:t>
            </w:r>
          </w:p>
          <w:p w:rsidRPr="006C29B1" w:rsidR="00DD016F" w:rsidP="002F290F" w:rsidRDefault="0078680C" w14:paraId="6D6F37E5" w14:textId="204F8F0F">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Ein weiteres wichtiges Element zur Gewährleistung eines </w:t>
            </w:r>
            <w:r w:rsidR="0098477D">
              <w:rPr>
                <w:rFonts w:ascii="Arial" w:hAnsi="Arial" w:eastAsia="Arial" w:cs="Arial"/>
                <w:sz w:val="22"/>
                <w:szCs w:val="22"/>
                <w:bdr w:val="nil"/>
                <w:lang w:val="de-DE"/>
              </w:rPr>
              <w:t xml:space="preserve">niederschwelligen </w:t>
            </w:r>
            <w:r>
              <w:rPr>
                <w:rFonts w:ascii="Arial" w:hAnsi="Arial" w:eastAsia="Arial" w:cs="Arial"/>
                <w:sz w:val="22"/>
                <w:szCs w:val="22"/>
                <w:bdr w:val="nil"/>
                <w:lang w:val="de-DE"/>
              </w:rPr>
              <w:t xml:space="preserve">Zugangs </w:t>
            </w:r>
            <w:r w:rsidR="0098477D">
              <w:rPr>
                <w:rFonts w:ascii="Arial" w:hAnsi="Arial" w:eastAsia="Arial" w:cs="Arial"/>
                <w:sz w:val="22"/>
                <w:szCs w:val="22"/>
                <w:bdr w:val="nil"/>
                <w:lang w:val="de-DE"/>
              </w:rPr>
              <w:t>besteht darin, minimale Anforderungen zu stellen</w:t>
            </w:r>
            <w:r>
              <w:rPr>
                <w:rFonts w:ascii="Arial" w:hAnsi="Arial" w:eastAsia="Arial" w:cs="Arial"/>
                <w:sz w:val="22"/>
                <w:szCs w:val="22"/>
                <w:bdr w:val="nil"/>
                <w:lang w:val="de-DE"/>
              </w:rPr>
              <w:t xml:space="preserve">, wenn </w:t>
            </w:r>
            <w:r w:rsidR="0098477D">
              <w:rPr>
                <w:rFonts w:ascii="Arial" w:hAnsi="Arial" w:eastAsia="Arial" w:cs="Arial"/>
                <w:sz w:val="22"/>
                <w:szCs w:val="22"/>
                <w:bdr w:val="nil"/>
                <w:lang w:val="de-DE"/>
              </w:rPr>
              <w:t>eine Persone</w:t>
            </w:r>
            <w:r>
              <w:rPr>
                <w:rFonts w:ascii="Arial" w:hAnsi="Arial" w:eastAsia="Arial" w:cs="Arial"/>
                <w:sz w:val="22"/>
                <w:szCs w:val="22"/>
                <w:bdr w:val="nil"/>
                <w:lang w:val="de-DE"/>
              </w:rPr>
              <w:t xml:space="preserve"> mit der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w:t>
            </w:r>
            <w:r w:rsidR="0098477D">
              <w:rPr>
                <w:rFonts w:ascii="Arial" w:hAnsi="Arial" w:eastAsia="Arial" w:cs="Arial"/>
                <w:sz w:val="22"/>
                <w:szCs w:val="22"/>
                <w:bdr w:val="nil"/>
                <w:lang w:val="de-DE"/>
              </w:rPr>
              <w:t xml:space="preserve">zum ersten Mal </w:t>
            </w:r>
            <w:r>
              <w:rPr>
                <w:rFonts w:ascii="Arial" w:hAnsi="Arial" w:eastAsia="Arial" w:cs="Arial"/>
                <w:sz w:val="22"/>
                <w:szCs w:val="22"/>
                <w:bdr w:val="nil"/>
                <w:lang w:val="de-DE"/>
              </w:rPr>
              <w:t>in Kontakt tr</w:t>
            </w:r>
            <w:r w:rsidR="0098477D">
              <w:rPr>
                <w:rFonts w:ascii="Arial" w:hAnsi="Arial" w:eastAsia="Arial" w:cs="Arial"/>
                <w:sz w:val="22"/>
                <w:szCs w:val="22"/>
                <w:bdr w:val="nil"/>
                <w:lang w:val="de-DE"/>
              </w:rPr>
              <w:t>itt</w:t>
            </w:r>
            <w:r>
              <w:rPr>
                <w:rFonts w:ascii="Arial" w:hAnsi="Arial" w:eastAsia="Arial" w:cs="Arial"/>
                <w:sz w:val="22"/>
                <w:szCs w:val="22"/>
                <w:bdr w:val="nil"/>
                <w:lang w:val="de-DE"/>
              </w:rPr>
              <w:t xml:space="preserve">. Es sollte möglich sein, Beschwerden mündlich und mit </w:t>
            </w:r>
            <w:r w:rsidR="0098477D">
              <w:rPr>
                <w:rFonts w:ascii="Arial" w:hAnsi="Arial" w:eastAsia="Arial" w:cs="Arial"/>
                <w:sz w:val="22"/>
                <w:szCs w:val="22"/>
                <w:bdr w:val="nil"/>
                <w:lang w:val="de-DE"/>
              </w:rPr>
              <w:t>einem Minimum von</w:t>
            </w:r>
            <w:r>
              <w:rPr>
                <w:rFonts w:ascii="Arial" w:hAnsi="Arial" w:eastAsia="Arial" w:cs="Arial"/>
                <w:sz w:val="22"/>
                <w:szCs w:val="22"/>
                <w:bdr w:val="nil"/>
                <w:lang w:val="de-DE"/>
              </w:rPr>
              <w:t xml:space="preserve"> Zulässigkeitsvoraussetzungen</w:t>
            </w:r>
            <w:r w:rsidR="0098477D">
              <w:rPr>
                <w:rFonts w:ascii="Arial" w:hAnsi="Arial" w:eastAsia="Arial" w:cs="Arial"/>
                <w:sz w:val="22"/>
                <w:szCs w:val="22"/>
                <w:bdr w:val="nil"/>
                <w:lang w:val="de-DE"/>
              </w:rPr>
              <w:t xml:space="preserve"> einzureichen</w:t>
            </w:r>
            <w:r>
              <w:rPr>
                <w:rFonts w:ascii="Arial" w:hAnsi="Arial" w:eastAsia="Arial" w:cs="Arial"/>
                <w:sz w:val="22"/>
                <w:szCs w:val="22"/>
                <w:bdr w:val="nil"/>
                <w:lang w:val="de-DE"/>
              </w:rPr>
              <w:t>.</w:t>
            </w:r>
          </w:p>
          <w:p w:rsidRPr="00C0685F" w:rsidR="00DD016F" w:rsidP="002F290F" w:rsidRDefault="0078680C" w14:paraId="5EC04A25" w14:textId="35402EA3">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sz w:val="22"/>
                <w:lang w:val="de-DE"/>
              </w:rPr>
            </w:pPr>
            <w:r>
              <w:rPr>
                <w:rFonts w:ascii="Arial" w:hAnsi="Arial" w:eastAsia="Arial" w:cs="Arial"/>
                <w:sz w:val="22"/>
                <w:szCs w:val="22"/>
                <w:bdr w:val="nil"/>
                <w:lang w:val="de-DE"/>
              </w:rPr>
              <w:t xml:space="preserve">Der Begriff „Behinderung" sollte so wie in Artikel 1.2 des Übereinkommens der Vereinten Nationen über die Rechte von Menschen mit Behinderungen </w:t>
            </w:r>
            <w:r w:rsidR="00693429">
              <w:rPr>
                <w:rFonts w:ascii="Arial" w:hAnsi="Arial" w:eastAsia="Arial" w:cs="Arial"/>
                <w:sz w:val="22"/>
                <w:szCs w:val="22"/>
                <w:bdr w:val="nil"/>
                <w:lang w:val="de-DE"/>
              </w:rPr>
              <w:t>verstanden werden</w:t>
            </w:r>
            <w:r>
              <w:rPr>
                <w:rFonts w:ascii="Arial" w:hAnsi="Arial" w:eastAsia="Arial" w:cs="Arial"/>
                <w:sz w:val="22"/>
                <w:szCs w:val="22"/>
                <w:bdr w:val="nil"/>
                <w:lang w:val="de-DE"/>
              </w:rPr>
              <w:t xml:space="preserve">. </w:t>
            </w:r>
          </w:p>
          <w:p w:rsidRPr="006C29B1" w:rsidR="00DD016F" w:rsidP="002F290F" w:rsidRDefault="0078680C" w14:paraId="11E95452" w14:textId="1D47BCBE">
            <w:pPr>
              <w:pStyle w:val="ListParagraph"/>
              <w:numPr>
                <w:ilvl w:val="0"/>
                <w:numId w:val="12"/>
              </w:numPr>
              <w:tabs>
                <w:tab w:val="left" w:pos="3828"/>
              </w:tabs>
              <w:spacing w:before="100" w:beforeAutospacing="1" w:after="100" w:afterAutospacing="1" w:line="240" w:lineRule="exact"/>
              <w:ind w:left="460" w:right="648" w:hanging="504"/>
              <w:contextualSpacing w:val="0"/>
              <w:jc w:val="both"/>
              <w:rPr>
                <w:rFonts w:ascii="Arial" w:hAnsi="Arial" w:cs="Arial"/>
                <w:sz w:val="22"/>
                <w:szCs w:val="22"/>
                <w:lang w:val="de-DE"/>
              </w:rPr>
            </w:pPr>
            <w:r>
              <w:rPr>
                <w:rFonts w:ascii="Arial" w:hAnsi="Arial" w:eastAsia="Arial" w:cs="Arial"/>
                <w:sz w:val="22"/>
                <w:szCs w:val="22"/>
                <w:bdr w:val="nil"/>
                <w:lang w:val="de-DE"/>
              </w:rPr>
              <w:t xml:space="preserve">Angehörige von Gruppen, die Diskriminierung und Intoleranz ausgesetzt sind, fürchten häufig, es könnte ihnen zusätzlicher Schaden entstehen, wenn sie die Hilfe einer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 in Anspruch nehmen. </w:t>
            </w:r>
            <w:r w:rsidR="00693429">
              <w:rPr>
                <w:rFonts w:ascii="Arial" w:hAnsi="Arial" w:eastAsia="Arial" w:cs="Arial"/>
                <w:sz w:val="22"/>
                <w:szCs w:val="22"/>
                <w:bdr w:val="nil"/>
                <w:lang w:val="de-DE"/>
              </w:rPr>
              <w:t>Daher</w:t>
            </w:r>
            <w:r>
              <w:rPr>
                <w:rFonts w:ascii="Arial" w:hAnsi="Arial" w:eastAsia="Arial" w:cs="Arial"/>
                <w:sz w:val="22"/>
                <w:szCs w:val="22"/>
                <w:bdr w:val="nil"/>
                <w:lang w:val="de-DE"/>
              </w:rPr>
              <w:t xml:space="preserve"> sollte es möglich sein,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 xml:space="preserve">n vertraulich zu kontaktieren, um dieses Risiko zu minimieren. </w:t>
            </w:r>
            <w:r w:rsidR="00781974">
              <w:rPr>
                <w:rFonts w:ascii="Arial" w:hAnsi="Arial" w:eastAsia="Arial" w:cs="Arial"/>
                <w:sz w:val="22"/>
                <w:szCs w:val="22"/>
                <w:bdr w:val="nil"/>
                <w:lang w:val="de-DE"/>
              </w:rPr>
              <w:t>Gleichheitsstelle</w:t>
            </w:r>
            <w:r>
              <w:rPr>
                <w:rFonts w:ascii="Arial" w:hAnsi="Arial" w:eastAsia="Arial" w:cs="Arial"/>
                <w:sz w:val="22"/>
                <w:szCs w:val="22"/>
                <w:bdr w:val="nil"/>
                <w:lang w:val="de-DE"/>
              </w:rPr>
              <w:t>n sollten sich da</w:t>
            </w:r>
            <w:r w:rsidR="0098477D">
              <w:rPr>
                <w:rFonts w:ascii="Arial" w:hAnsi="Arial" w:eastAsia="Arial" w:cs="Arial"/>
                <w:sz w:val="22"/>
                <w:szCs w:val="22"/>
                <w:bdr w:val="nil"/>
                <w:lang w:val="de-DE"/>
              </w:rPr>
              <w:t>rum bemühen</w:t>
            </w:r>
            <w:r>
              <w:rPr>
                <w:rFonts w:ascii="Arial" w:hAnsi="Arial" w:eastAsia="Arial" w:cs="Arial"/>
                <w:sz w:val="22"/>
                <w:szCs w:val="22"/>
                <w:bdr w:val="nil"/>
                <w:lang w:val="de-DE"/>
              </w:rPr>
              <w:t>, eine</w:t>
            </w:r>
            <w:r w:rsidR="0098477D">
              <w:rPr>
                <w:rFonts w:ascii="Arial" w:hAnsi="Arial" w:eastAsia="Arial" w:cs="Arial"/>
                <w:sz w:val="22"/>
                <w:szCs w:val="22"/>
                <w:bdr w:val="nil"/>
                <w:lang w:val="de-DE"/>
              </w:rPr>
              <w:t>r</w:t>
            </w:r>
            <w:r>
              <w:rPr>
                <w:rFonts w:ascii="Arial" w:hAnsi="Arial" w:eastAsia="Arial" w:cs="Arial"/>
                <w:sz w:val="22"/>
                <w:szCs w:val="22"/>
                <w:bdr w:val="nil"/>
                <w:lang w:val="de-DE"/>
              </w:rPr>
              <w:t xml:space="preserve"> solche Viktimisierung von Menschen, die Diskriminierung und Intoleranz ausgesetzt sind, </w:t>
            </w:r>
            <w:r w:rsidR="0098477D">
              <w:rPr>
                <w:rFonts w:ascii="Arial" w:hAnsi="Arial" w:eastAsia="Arial" w:cs="Arial"/>
                <w:sz w:val="22"/>
                <w:szCs w:val="22"/>
                <w:bdr w:val="nil"/>
                <w:lang w:val="de-DE"/>
              </w:rPr>
              <w:t>dadurch vorzubeugen und entgegenzutreten</w:t>
            </w:r>
            <w:r>
              <w:rPr>
                <w:rFonts w:ascii="Arial" w:hAnsi="Arial" w:eastAsia="Arial" w:cs="Arial"/>
                <w:sz w:val="22"/>
                <w:szCs w:val="22"/>
                <w:bdr w:val="nil"/>
                <w:lang w:val="de-DE"/>
              </w:rPr>
              <w:t xml:space="preserve">, </w:t>
            </w:r>
            <w:r w:rsidR="0098477D">
              <w:rPr>
                <w:rFonts w:ascii="Arial" w:hAnsi="Arial" w:eastAsia="Arial" w:cs="Arial"/>
                <w:sz w:val="22"/>
                <w:szCs w:val="22"/>
                <w:bdr w:val="nil"/>
                <w:lang w:val="de-DE"/>
              </w:rPr>
              <w:t xml:space="preserve">dass </w:t>
            </w:r>
            <w:r>
              <w:rPr>
                <w:rFonts w:ascii="Arial" w:hAnsi="Arial" w:eastAsia="Arial" w:cs="Arial"/>
                <w:sz w:val="22"/>
                <w:szCs w:val="22"/>
                <w:bdr w:val="nil"/>
                <w:lang w:val="de-DE"/>
              </w:rPr>
              <w:t xml:space="preserve">sie </w:t>
            </w:r>
            <w:r w:rsidRPr="0098477D" w:rsidR="0098477D">
              <w:rPr>
                <w:rFonts w:ascii="Arial" w:hAnsi="Arial" w:eastAsia="Arial" w:cs="Arial"/>
                <w:sz w:val="22"/>
                <w:szCs w:val="22"/>
                <w:bdr w:val="nil"/>
                <w:lang w:val="de-DE"/>
              </w:rPr>
              <w:t xml:space="preserve">im Rahmen des Verfahrens </w:t>
            </w:r>
            <w:r>
              <w:rPr>
                <w:rFonts w:ascii="Arial" w:hAnsi="Arial" w:eastAsia="Arial" w:cs="Arial"/>
                <w:sz w:val="22"/>
                <w:szCs w:val="22"/>
                <w:bdr w:val="nil"/>
                <w:lang w:val="de-DE"/>
              </w:rPr>
              <w:t>d</w:t>
            </w:r>
            <w:r w:rsidR="00693429">
              <w:rPr>
                <w:rFonts w:ascii="Arial" w:hAnsi="Arial" w:eastAsia="Arial" w:cs="Arial"/>
                <w:sz w:val="22"/>
                <w:szCs w:val="22"/>
                <w:bdr w:val="nil"/>
                <w:lang w:val="de-DE"/>
              </w:rPr>
              <w:t>en</w:t>
            </w:r>
            <w:r>
              <w:rPr>
                <w:rFonts w:ascii="Arial" w:hAnsi="Arial" w:eastAsia="Arial" w:cs="Arial"/>
                <w:sz w:val="22"/>
                <w:szCs w:val="22"/>
                <w:bdr w:val="nil"/>
                <w:lang w:val="de-DE"/>
              </w:rPr>
              <w:t xml:space="preserve"> gesetzlichen Bestimmungen </w:t>
            </w:r>
            <w:r w:rsidR="00693429">
              <w:rPr>
                <w:rFonts w:ascii="Arial" w:hAnsi="Arial" w:eastAsia="Arial" w:cs="Arial"/>
                <w:sz w:val="22"/>
                <w:szCs w:val="22"/>
                <w:bdr w:val="nil"/>
                <w:lang w:val="de-DE"/>
              </w:rPr>
              <w:t>Geltung verschaffen</w:t>
            </w:r>
            <w:r>
              <w:rPr>
                <w:rFonts w:ascii="Arial" w:hAnsi="Arial" w:eastAsia="Arial" w:cs="Arial"/>
                <w:sz w:val="22"/>
                <w:szCs w:val="22"/>
                <w:bdr w:val="nil"/>
                <w:lang w:val="de-DE"/>
              </w:rPr>
              <w:t xml:space="preserve">, die solche Vergeltungsmaßnahmen verbieten (siehe </w:t>
            </w:r>
            <w:r w:rsidR="00786C47">
              <w:rPr>
                <w:rFonts w:ascii="Arial" w:hAnsi="Arial" w:eastAsia="Arial" w:cs="Arial"/>
                <w:sz w:val="22"/>
                <w:szCs w:val="22"/>
                <w:bdr w:val="nil"/>
                <w:lang w:val="de-DE"/>
              </w:rPr>
              <w:t>§ </w:t>
            </w:r>
            <w:r>
              <w:rPr>
                <w:rFonts w:ascii="Arial" w:hAnsi="Arial" w:eastAsia="Arial" w:cs="Arial"/>
                <w:sz w:val="22"/>
                <w:szCs w:val="22"/>
                <w:bdr w:val="nil"/>
                <w:lang w:val="de-DE"/>
              </w:rPr>
              <w:t xml:space="preserve">27 der </w:t>
            </w:r>
            <w:r w:rsidR="00717C12">
              <w:rPr>
                <w:rFonts w:ascii="Arial" w:hAnsi="Arial" w:eastAsia="Arial" w:cs="Arial"/>
                <w:sz w:val="22"/>
                <w:szCs w:val="22"/>
                <w:bdr w:val="nil"/>
                <w:lang w:val="de-DE"/>
              </w:rPr>
              <w:t>APE</w:t>
            </w:r>
            <w:r>
              <w:rPr>
                <w:rFonts w:ascii="Arial" w:hAnsi="Arial" w:eastAsia="Arial" w:cs="Arial"/>
                <w:sz w:val="22"/>
                <w:szCs w:val="22"/>
                <w:bdr w:val="nil"/>
                <w:lang w:val="de-DE"/>
              </w:rPr>
              <w:t xml:space="preserve"> Nr. 7 von ECRI). </w:t>
            </w:r>
          </w:p>
        </w:tc>
      </w:tr>
    </w:tbl>
    <w:p w:rsidRPr="006C29B1" w:rsidR="00897D7F" w:rsidP="005B4190" w:rsidRDefault="00897D7F" w14:paraId="2A31A562" w14:textId="77777777">
      <w:pPr>
        <w:spacing w:before="100" w:beforeAutospacing="1" w:after="100" w:afterAutospacing="1"/>
        <w:rPr>
          <w:lang w:val="de-DE"/>
        </w:rPr>
      </w:pPr>
    </w:p>
    <w:p w:rsidRPr="006C29B1" w:rsidR="00717075" w:rsidP="00717075" w:rsidRDefault="00717075" w14:paraId="4DA2634A" w14:textId="77777777">
      <w:pPr>
        <w:pStyle w:val="ListParagraph"/>
        <w:spacing w:before="100" w:beforeAutospacing="1" w:after="100" w:afterAutospacing="1" w:line="240" w:lineRule="exact"/>
        <w:ind w:left="460"/>
        <w:contextualSpacing w:val="0"/>
        <w:jc w:val="both"/>
        <w:rPr>
          <w:rFonts w:ascii="Arial" w:hAnsi="Arial" w:cs="Arial"/>
          <w:lang w:val="de-DE"/>
        </w:rPr>
        <w:sectPr w:rsidRPr="006C29B1" w:rsidR="00717075" w:rsidSect="00403293">
          <w:type w:val="oddPage"/>
          <w:pgSz w:w="11907" w:h="16840" w:code="9"/>
          <w:pgMar w:top="1418" w:right="1418" w:bottom="1418" w:left="1418" w:header="709" w:footer="709" w:gutter="0"/>
          <w:cols w:space="720"/>
          <w:formProt w:val="0"/>
          <w:titlePg/>
          <w:docGrid w:linePitch="360" w:charSpace="-6145"/>
        </w:sectPr>
      </w:pPr>
    </w:p>
    <w:p w:rsidRPr="006C29B1" w:rsidR="00717075" w:rsidP="00717075" w:rsidRDefault="00717075" w14:paraId="69C7DAAF" w14:textId="77777777">
      <w:pPr>
        <w:pStyle w:val="ListParagraph"/>
        <w:spacing w:before="100" w:beforeAutospacing="1" w:after="100" w:afterAutospacing="1" w:line="240" w:lineRule="exact"/>
        <w:ind w:left="460"/>
        <w:contextualSpacing w:val="0"/>
        <w:jc w:val="both"/>
        <w:rPr>
          <w:rFonts w:ascii="Arial" w:hAnsi="Arial" w:cs="Arial"/>
          <w:lang w:val="de-DE"/>
        </w:rPr>
      </w:pPr>
    </w:p>
    <w:sectPr w:rsidRPr="006C29B1" w:rsidR="00717075" w:rsidSect="00403293">
      <w:footerReference w:type="first" r:id="rId20"/>
      <w:type w:val="oddPage"/>
      <w:pgSz w:w="11907" w:h="16840" w:code="9"/>
      <w:pgMar w:top="1418" w:right="1418" w:bottom="1418" w:left="1418" w:header="709" w:footer="709"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0834" w14:textId="77777777" w:rsidR="00E11186" w:rsidRDefault="00E11186">
      <w:r>
        <w:separator/>
      </w:r>
    </w:p>
  </w:endnote>
  <w:endnote w:type="continuationSeparator" w:id="0">
    <w:p w14:paraId="07312298" w14:textId="77777777" w:rsidR="00E11186" w:rsidRDefault="00E11186">
      <w:r>
        <w:continuationSeparator/>
      </w:r>
    </w:p>
  </w:endnote>
  <w:endnote w:type="continuationNotice" w:id="1">
    <w:p w14:paraId="0669D01B" w14:textId="77777777" w:rsidR="00E11186" w:rsidRDefault="00E1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charset w:val="00"/>
    <w:family w:val="swiss"/>
    <w:pitch w:val="variable"/>
    <w:sig w:usb0="00000003"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DDA1" w14:textId="77777777" w:rsidR="00693429" w:rsidRDefault="00693429" w:rsidP="00511C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488403"/>
      <w:docPartObj>
        <w:docPartGallery w:val="Page Numbers (Bottom of Page)"/>
        <w:docPartUnique/>
      </w:docPartObj>
    </w:sdtPr>
    <w:sdtEndPr>
      <w:rPr>
        <w:rFonts w:ascii="Arial" w:hAnsi="Arial" w:cs="Arial"/>
        <w:noProof/>
        <w:sz w:val="16"/>
        <w:szCs w:val="16"/>
      </w:rPr>
    </w:sdtEndPr>
    <w:sdtContent>
      <w:p w14:paraId="1E3F2EA8" w14:textId="77777777" w:rsidR="00693429" w:rsidRPr="00897D7F" w:rsidRDefault="00693429" w:rsidP="00717075">
        <w:pPr>
          <w:pStyle w:val="Footer"/>
          <w:jc w:val="right"/>
          <w:rPr>
            <w:rFonts w:ascii="Arial" w:hAnsi="Arial" w:cs="Arial"/>
            <w:sz w:val="16"/>
            <w:szCs w:val="16"/>
          </w:rPr>
        </w:pPr>
        <w:r w:rsidRPr="00897D7F">
          <w:rPr>
            <w:rFonts w:ascii="Arial" w:hAnsi="Arial" w:cs="Arial"/>
            <w:sz w:val="16"/>
            <w:szCs w:val="16"/>
          </w:rPr>
          <w:fldChar w:fldCharType="begin"/>
        </w:r>
        <w:r w:rsidRPr="00897D7F">
          <w:rPr>
            <w:rFonts w:ascii="Arial" w:hAnsi="Arial" w:cs="Arial"/>
            <w:sz w:val="16"/>
            <w:szCs w:val="16"/>
          </w:rPr>
          <w:instrText xml:space="preserve"> PAGE   \* MERGEFORMAT </w:instrText>
        </w:r>
        <w:r w:rsidRPr="00897D7F">
          <w:rPr>
            <w:rFonts w:ascii="Arial" w:hAnsi="Arial" w:cs="Arial"/>
            <w:sz w:val="16"/>
            <w:szCs w:val="16"/>
          </w:rPr>
          <w:fldChar w:fldCharType="separate"/>
        </w:r>
        <w:r>
          <w:rPr>
            <w:rFonts w:ascii="Arial" w:hAnsi="Arial" w:cs="Arial"/>
            <w:noProof/>
            <w:sz w:val="16"/>
            <w:szCs w:val="16"/>
          </w:rPr>
          <w:t>11</w:t>
        </w:r>
        <w:r w:rsidRPr="00897D7F">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17815"/>
      <w:docPartObj>
        <w:docPartGallery w:val="Page Numbers (Bottom of Page)"/>
        <w:docPartUnique/>
      </w:docPartObj>
    </w:sdtPr>
    <w:sdtEndPr>
      <w:rPr>
        <w:rFonts w:ascii="Arial" w:hAnsi="Arial" w:cs="Arial"/>
        <w:noProof/>
        <w:sz w:val="16"/>
        <w:szCs w:val="16"/>
      </w:rPr>
    </w:sdtEndPr>
    <w:sdtContent>
      <w:p w14:paraId="20193D52" w14:textId="77777777" w:rsidR="00693429" w:rsidRPr="00897D7F" w:rsidRDefault="00693429" w:rsidP="00403293">
        <w:pPr>
          <w:pStyle w:val="Footer"/>
          <w:jc w:val="right"/>
          <w:rPr>
            <w:rFonts w:ascii="Arial" w:hAnsi="Arial" w:cs="Arial"/>
            <w:sz w:val="16"/>
            <w:szCs w:val="16"/>
          </w:rPr>
        </w:pPr>
        <w:r w:rsidRPr="00897D7F">
          <w:rPr>
            <w:rFonts w:ascii="Arial" w:hAnsi="Arial" w:cs="Arial"/>
            <w:sz w:val="16"/>
            <w:szCs w:val="16"/>
          </w:rPr>
          <w:fldChar w:fldCharType="begin"/>
        </w:r>
        <w:r w:rsidRPr="00897D7F">
          <w:rPr>
            <w:rFonts w:ascii="Arial" w:hAnsi="Arial" w:cs="Arial"/>
            <w:sz w:val="16"/>
            <w:szCs w:val="16"/>
          </w:rPr>
          <w:instrText xml:space="preserve"> PAGE   \* MERGEFORMAT </w:instrText>
        </w:r>
        <w:r w:rsidRPr="00897D7F">
          <w:rPr>
            <w:rFonts w:ascii="Arial" w:hAnsi="Arial" w:cs="Arial"/>
            <w:sz w:val="16"/>
            <w:szCs w:val="16"/>
          </w:rPr>
          <w:fldChar w:fldCharType="separate"/>
        </w:r>
        <w:r>
          <w:rPr>
            <w:rFonts w:ascii="Arial" w:hAnsi="Arial" w:cs="Arial"/>
            <w:noProof/>
            <w:sz w:val="16"/>
            <w:szCs w:val="16"/>
          </w:rPr>
          <w:t>5</w:t>
        </w:r>
        <w:r w:rsidRPr="00897D7F">
          <w:rPr>
            <w:rFonts w:ascii="Arial" w:hAnsi="Arial" w:cs="Arial"/>
            <w:noProof/>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756378"/>
      <w:docPartObj>
        <w:docPartGallery w:val="Page Numbers (Bottom of Page)"/>
        <w:docPartUnique/>
      </w:docPartObj>
    </w:sdtPr>
    <w:sdtEndPr>
      <w:rPr>
        <w:rFonts w:ascii="Arial" w:hAnsi="Arial" w:cs="Arial"/>
        <w:noProof/>
        <w:sz w:val="16"/>
        <w:szCs w:val="16"/>
      </w:rPr>
    </w:sdtEndPr>
    <w:sdtContent>
      <w:p w14:paraId="05D3DC23" w14:textId="77777777" w:rsidR="00693429" w:rsidRPr="00897D7F" w:rsidRDefault="00693429" w:rsidP="00717075">
        <w:pPr>
          <w:pStyle w:val="Footer"/>
          <w:rPr>
            <w:rFonts w:ascii="Arial" w:hAnsi="Arial" w:cs="Arial"/>
            <w:sz w:val="16"/>
            <w:szCs w:val="16"/>
          </w:rPr>
        </w:pPr>
        <w:r w:rsidRPr="00897D7F">
          <w:rPr>
            <w:rFonts w:ascii="Arial" w:hAnsi="Arial" w:cs="Arial"/>
            <w:sz w:val="16"/>
            <w:szCs w:val="16"/>
          </w:rPr>
          <w:fldChar w:fldCharType="begin"/>
        </w:r>
        <w:r w:rsidRPr="00897D7F">
          <w:rPr>
            <w:rFonts w:ascii="Arial" w:hAnsi="Arial" w:cs="Arial"/>
            <w:sz w:val="16"/>
            <w:szCs w:val="16"/>
          </w:rPr>
          <w:instrText xml:space="preserve"> PAGE   \* MERGEFORMAT </w:instrText>
        </w:r>
        <w:r w:rsidRPr="00897D7F">
          <w:rPr>
            <w:rFonts w:ascii="Arial" w:hAnsi="Arial" w:cs="Arial"/>
            <w:sz w:val="16"/>
            <w:szCs w:val="16"/>
          </w:rPr>
          <w:fldChar w:fldCharType="separate"/>
        </w:r>
        <w:r>
          <w:rPr>
            <w:rFonts w:ascii="Arial" w:hAnsi="Arial" w:cs="Arial"/>
            <w:noProof/>
            <w:sz w:val="16"/>
            <w:szCs w:val="16"/>
          </w:rPr>
          <w:t>4</w:t>
        </w:r>
        <w:r w:rsidRPr="00897D7F">
          <w:rPr>
            <w:rFonts w:ascii="Arial" w:hAnsi="Arial" w:cs="Arial"/>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84E6" w14:textId="77777777" w:rsidR="00693429" w:rsidRPr="00897D7F" w:rsidRDefault="00693429" w:rsidP="0071707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778E" w14:textId="77777777" w:rsidR="00E11186" w:rsidRDefault="00E11186" w:rsidP="00E14094">
      <w:r>
        <w:separator/>
      </w:r>
    </w:p>
  </w:footnote>
  <w:footnote w:type="continuationSeparator" w:id="0">
    <w:p w14:paraId="6559FA20" w14:textId="77777777" w:rsidR="00E11186" w:rsidRDefault="00E11186" w:rsidP="00E14094">
      <w:r>
        <w:continuationSeparator/>
      </w:r>
    </w:p>
  </w:footnote>
  <w:footnote w:type="continuationNotice" w:id="1">
    <w:p w14:paraId="1AA0CF57" w14:textId="77777777" w:rsidR="00E11186" w:rsidRDefault="00E11186"/>
  </w:footnote>
  <w:footnote w:id="2">
    <w:p w14:paraId="06081928" w14:textId="63FE1F2C" w:rsidR="00693429" w:rsidRPr="00C0685F" w:rsidRDefault="00693429" w:rsidP="004B73F0">
      <w:pPr>
        <w:pStyle w:val="FootnoteText"/>
        <w:ind w:right="-143"/>
        <w:jc w:val="both"/>
        <w:rPr>
          <w:rFonts w:ascii="Arial" w:hAnsi="Arial"/>
          <w:sz w:val="18"/>
          <w:lang w:val="de-DE"/>
        </w:rPr>
      </w:pPr>
      <w:r w:rsidRPr="00017082">
        <w:rPr>
          <w:rStyle w:val="FootnoteReference"/>
          <w:rFonts w:ascii="Arial" w:hAnsi="Arial" w:cs="Arial"/>
          <w:sz w:val="18"/>
          <w:szCs w:val="18"/>
        </w:rPr>
        <w:footnoteRef/>
      </w:r>
      <w:r w:rsidRPr="00017082">
        <w:rPr>
          <w:rFonts w:ascii="Arial" w:eastAsia="Arial" w:hAnsi="Arial" w:cs="Arial"/>
          <w:sz w:val="18"/>
          <w:szCs w:val="18"/>
          <w:bdr w:val="nil"/>
          <w:lang w:val="de-DE"/>
        </w:rPr>
        <w:t xml:space="preserve"> </w:t>
      </w:r>
      <w:r w:rsidRPr="00C0685F">
        <w:rPr>
          <w:rFonts w:ascii="Arial" w:eastAsia="Arial" w:hAnsi="Arial"/>
          <w:i/>
          <w:sz w:val="18"/>
          <w:bdr w:val="nil"/>
          <w:lang w:val="de-DE"/>
        </w:rPr>
        <w:t>Da alle Menschen der gleichen Spezies angehören, lehnt ECRI Theorien ab, die sich auf die Existenz verschiedener „Rassen" gründen. In dieser Empfehlung verwendet ECRI jedoch diesen Begriff, um sicherzustellen, dass die Menschen, die allgemein und fälschlicherweise als Angehörige einer „anderen Rasse" bezeichnet werden, nicht von dem in dieser Empfehlung gewährten Schutz ausgeschlossen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56876"/>
      <w:docPartObj>
        <w:docPartGallery w:val="Page Numbers (Top of Page)"/>
        <w:docPartUnique/>
      </w:docPartObj>
    </w:sdtPr>
    <w:sdtEndPr>
      <w:rPr>
        <w:noProof/>
      </w:rPr>
    </w:sdtEndPr>
    <w:sdtContent>
      <w:p w14:paraId="7FB9C6EE" w14:textId="77777777" w:rsidR="00693429" w:rsidRDefault="00693429" w:rsidP="00424840">
        <w:pPr>
          <w:pStyle w:val="Header"/>
          <w:jc w:val="center"/>
        </w:pPr>
        <w:r w:rsidRPr="00C0685F">
          <w:rPr>
            <w:noProof/>
          </w:rPr>
          <w:drawing>
            <wp:inline distT="0" distB="0" distL="0" distR="0" wp14:anchorId="31BE715D" wp14:editId="720FC8AF">
              <wp:extent cx="2810262" cy="1435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53092" name="COE logo &amp; EC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0262" cy="1435611"/>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27DB" w14:textId="77777777" w:rsidR="00693429" w:rsidRDefault="00693429" w:rsidP="00ED38BA">
    <w:pPr>
      <w:pStyle w:val="Header"/>
      <w:jc w:val="right"/>
    </w:pPr>
    <w:r w:rsidRPr="00C0685F">
      <w:rPr>
        <w:noProof/>
      </w:rPr>
      <w:drawing>
        <wp:inline distT="0" distB="0" distL="0" distR="0" wp14:anchorId="6292E1DA" wp14:editId="37EF40D6">
          <wp:extent cx="2810262" cy="14356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22241" name="COE logo &amp; EC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0262" cy="14356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770A" w14:textId="77777777" w:rsidR="00693429" w:rsidRPr="00897D7F" w:rsidRDefault="00693429" w:rsidP="00897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E10C" w14:textId="77777777" w:rsidR="00693429" w:rsidRPr="00403293" w:rsidRDefault="00693429" w:rsidP="0040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6D7"/>
    <w:multiLevelType w:val="multilevel"/>
    <w:tmpl w:val="519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D71DD"/>
    <w:multiLevelType w:val="multilevel"/>
    <w:tmpl w:val="E17017EC"/>
    <w:lvl w:ilvl="0">
      <w:start w:val="1"/>
      <w:numFmt w:val="lowerLetter"/>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E0185A"/>
    <w:multiLevelType w:val="multilevel"/>
    <w:tmpl w:val="E806D5E2"/>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0356A9"/>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0709B"/>
    <w:multiLevelType w:val="multilevel"/>
    <w:tmpl w:val="794A77D4"/>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B970AE"/>
    <w:multiLevelType w:val="hybridMultilevel"/>
    <w:tmpl w:val="27B48BCA"/>
    <w:lvl w:ilvl="0" w:tplc="78363F2A">
      <w:start w:val="1"/>
      <w:numFmt w:val="lowerLetter"/>
      <w:lvlText w:val="%1."/>
      <w:lvlJc w:val="left"/>
      <w:pPr>
        <w:ind w:left="1440" w:hanging="360"/>
      </w:pPr>
    </w:lvl>
    <w:lvl w:ilvl="1" w:tplc="9D0A0EB4" w:tentative="1">
      <w:start w:val="1"/>
      <w:numFmt w:val="lowerLetter"/>
      <w:lvlText w:val="%2."/>
      <w:lvlJc w:val="left"/>
      <w:pPr>
        <w:ind w:left="2160" w:hanging="360"/>
      </w:pPr>
    </w:lvl>
    <w:lvl w:ilvl="2" w:tplc="69624F2A" w:tentative="1">
      <w:start w:val="1"/>
      <w:numFmt w:val="lowerRoman"/>
      <w:lvlText w:val="%3."/>
      <w:lvlJc w:val="right"/>
      <w:pPr>
        <w:ind w:left="2880" w:hanging="180"/>
      </w:pPr>
    </w:lvl>
    <w:lvl w:ilvl="3" w:tplc="4F3AF906" w:tentative="1">
      <w:start w:val="1"/>
      <w:numFmt w:val="decimal"/>
      <w:lvlText w:val="%4."/>
      <w:lvlJc w:val="left"/>
      <w:pPr>
        <w:ind w:left="3600" w:hanging="360"/>
      </w:pPr>
    </w:lvl>
    <w:lvl w:ilvl="4" w:tplc="E062B10A" w:tentative="1">
      <w:start w:val="1"/>
      <w:numFmt w:val="lowerLetter"/>
      <w:lvlText w:val="%5."/>
      <w:lvlJc w:val="left"/>
      <w:pPr>
        <w:ind w:left="4320" w:hanging="360"/>
      </w:pPr>
    </w:lvl>
    <w:lvl w:ilvl="5" w:tplc="757EEBDE" w:tentative="1">
      <w:start w:val="1"/>
      <w:numFmt w:val="lowerRoman"/>
      <w:lvlText w:val="%6."/>
      <w:lvlJc w:val="right"/>
      <w:pPr>
        <w:ind w:left="5040" w:hanging="180"/>
      </w:pPr>
    </w:lvl>
    <w:lvl w:ilvl="6" w:tplc="548AC664" w:tentative="1">
      <w:start w:val="1"/>
      <w:numFmt w:val="decimal"/>
      <w:lvlText w:val="%7."/>
      <w:lvlJc w:val="left"/>
      <w:pPr>
        <w:ind w:left="5760" w:hanging="360"/>
      </w:pPr>
    </w:lvl>
    <w:lvl w:ilvl="7" w:tplc="5C022E46" w:tentative="1">
      <w:start w:val="1"/>
      <w:numFmt w:val="lowerLetter"/>
      <w:lvlText w:val="%8."/>
      <w:lvlJc w:val="left"/>
      <w:pPr>
        <w:ind w:left="6480" w:hanging="360"/>
      </w:pPr>
    </w:lvl>
    <w:lvl w:ilvl="8" w:tplc="991E8256" w:tentative="1">
      <w:start w:val="1"/>
      <w:numFmt w:val="lowerRoman"/>
      <w:lvlText w:val="%9."/>
      <w:lvlJc w:val="right"/>
      <w:pPr>
        <w:ind w:left="7200" w:hanging="180"/>
      </w:pPr>
    </w:lvl>
  </w:abstractNum>
  <w:abstractNum w:abstractNumId="6" w15:restartNumberingAfterBreak="0">
    <w:nsid w:val="1F2470A1"/>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6490E"/>
    <w:multiLevelType w:val="multilevel"/>
    <w:tmpl w:val="D2C8C438"/>
    <w:lvl w:ilvl="0">
      <w:start w:val="3"/>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9A2923"/>
    <w:multiLevelType w:val="multilevel"/>
    <w:tmpl w:val="B94C26A6"/>
    <w:lvl w:ilvl="0">
      <w:start w:val="1"/>
      <w:numFmt w:val="decimal"/>
      <w:lvlText w:val="%1."/>
      <w:lvlJc w:val="left"/>
      <w:pPr>
        <w:ind w:left="89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C6898"/>
    <w:multiLevelType w:val="multilevel"/>
    <w:tmpl w:val="918E858A"/>
    <w:lvl w:ilvl="0">
      <w:start w:val="1"/>
      <w:numFmt w:val="lowerLetter"/>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5C43ED"/>
    <w:multiLevelType w:val="hybridMultilevel"/>
    <w:tmpl w:val="2416CD8C"/>
    <w:lvl w:ilvl="0" w:tplc="34C825BA">
      <w:start w:val="1"/>
      <w:numFmt w:val="decimal"/>
      <w:lvlText w:val="%1."/>
      <w:lvlJc w:val="left"/>
      <w:pPr>
        <w:ind w:left="6030" w:hanging="360"/>
      </w:pPr>
    </w:lvl>
    <w:lvl w:ilvl="1" w:tplc="B76A0A7E">
      <w:start w:val="1"/>
      <w:numFmt w:val="lowerLetter"/>
      <w:lvlText w:val="%2."/>
      <w:lvlJc w:val="left"/>
      <w:pPr>
        <w:ind w:left="1440" w:hanging="360"/>
      </w:pPr>
    </w:lvl>
    <w:lvl w:ilvl="2" w:tplc="F9721D80" w:tentative="1">
      <w:start w:val="1"/>
      <w:numFmt w:val="lowerRoman"/>
      <w:lvlText w:val="%3."/>
      <w:lvlJc w:val="right"/>
      <w:pPr>
        <w:ind w:left="2160" w:hanging="180"/>
      </w:pPr>
    </w:lvl>
    <w:lvl w:ilvl="3" w:tplc="FEA490D4" w:tentative="1">
      <w:start w:val="1"/>
      <w:numFmt w:val="decimal"/>
      <w:lvlText w:val="%4."/>
      <w:lvlJc w:val="left"/>
      <w:pPr>
        <w:ind w:left="2880" w:hanging="360"/>
      </w:pPr>
    </w:lvl>
    <w:lvl w:ilvl="4" w:tplc="9C92FAE6" w:tentative="1">
      <w:start w:val="1"/>
      <w:numFmt w:val="lowerLetter"/>
      <w:lvlText w:val="%5."/>
      <w:lvlJc w:val="left"/>
      <w:pPr>
        <w:ind w:left="3600" w:hanging="360"/>
      </w:pPr>
    </w:lvl>
    <w:lvl w:ilvl="5" w:tplc="FCCCC6D4" w:tentative="1">
      <w:start w:val="1"/>
      <w:numFmt w:val="lowerRoman"/>
      <w:lvlText w:val="%6."/>
      <w:lvlJc w:val="right"/>
      <w:pPr>
        <w:ind w:left="4320" w:hanging="180"/>
      </w:pPr>
    </w:lvl>
    <w:lvl w:ilvl="6" w:tplc="4C363AC8" w:tentative="1">
      <w:start w:val="1"/>
      <w:numFmt w:val="decimal"/>
      <w:lvlText w:val="%7."/>
      <w:lvlJc w:val="left"/>
      <w:pPr>
        <w:ind w:left="5040" w:hanging="360"/>
      </w:pPr>
    </w:lvl>
    <w:lvl w:ilvl="7" w:tplc="683E7C30" w:tentative="1">
      <w:start w:val="1"/>
      <w:numFmt w:val="lowerLetter"/>
      <w:lvlText w:val="%8."/>
      <w:lvlJc w:val="left"/>
      <w:pPr>
        <w:ind w:left="5760" w:hanging="360"/>
      </w:pPr>
    </w:lvl>
    <w:lvl w:ilvl="8" w:tplc="D528069E" w:tentative="1">
      <w:start w:val="1"/>
      <w:numFmt w:val="lowerRoman"/>
      <w:lvlText w:val="%9."/>
      <w:lvlJc w:val="right"/>
      <w:pPr>
        <w:ind w:left="6480" w:hanging="180"/>
      </w:pPr>
    </w:lvl>
  </w:abstractNum>
  <w:abstractNum w:abstractNumId="11" w15:restartNumberingAfterBreak="0">
    <w:nsid w:val="325D62AB"/>
    <w:multiLevelType w:val="multilevel"/>
    <w:tmpl w:val="EED615D4"/>
    <w:lvl w:ilvl="0">
      <w:start w:val="39"/>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5525530"/>
    <w:multiLevelType w:val="hybridMultilevel"/>
    <w:tmpl w:val="14DECB7E"/>
    <w:lvl w:ilvl="0" w:tplc="8D545294">
      <w:start w:val="1"/>
      <w:numFmt w:val="upperRoman"/>
      <w:lvlText w:val="%1."/>
      <w:lvlJc w:val="left"/>
      <w:pPr>
        <w:ind w:left="1080" w:hanging="720"/>
      </w:pPr>
      <w:rPr>
        <w:rFonts w:hint="default"/>
      </w:rPr>
    </w:lvl>
    <w:lvl w:ilvl="1" w:tplc="8C984D06" w:tentative="1">
      <w:start w:val="1"/>
      <w:numFmt w:val="lowerLetter"/>
      <w:lvlText w:val="%2."/>
      <w:lvlJc w:val="left"/>
      <w:pPr>
        <w:ind w:left="1440" w:hanging="360"/>
      </w:pPr>
    </w:lvl>
    <w:lvl w:ilvl="2" w:tplc="4A5ADC02" w:tentative="1">
      <w:start w:val="1"/>
      <w:numFmt w:val="lowerRoman"/>
      <w:lvlText w:val="%3."/>
      <w:lvlJc w:val="right"/>
      <w:pPr>
        <w:ind w:left="2160" w:hanging="180"/>
      </w:pPr>
    </w:lvl>
    <w:lvl w:ilvl="3" w:tplc="DE0AA1D4" w:tentative="1">
      <w:start w:val="1"/>
      <w:numFmt w:val="decimal"/>
      <w:lvlText w:val="%4."/>
      <w:lvlJc w:val="left"/>
      <w:pPr>
        <w:ind w:left="2880" w:hanging="360"/>
      </w:pPr>
    </w:lvl>
    <w:lvl w:ilvl="4" w:tplc="E108A284" w:tentative="1">
      <w:start w:val="1"/>
      <w:numFmt w:val="lowerLetter"/>
      <w:lvlText w:val="%5."/>
      <w:lvlJc w:val="left"/>
      <w:pPr>
        <w:ind w:left="3600" w:hanging="360"/>
      </w:pPr>
    </w:lvl>
    <w:lvl w:ilvl="5" w:tplc="1EB21290" w:tentative="1">
      <w:start w:val="1"/>
      <w:numFmt w:val="lowerRoman"/>
      <w:lvlText w:val="%6."/>
      <w:lvlJc w:val="right"/>
      <w:pPr>
        <w:ind w:left="4320" w:hanging="180"/>
      </w:pPr>
    </w:lvl>
    <w:lvl w:ilvl="6" w:tplc="7B02613A" w:tentative="1">
      <w:start w:val="1"/>
      <w:numFmt w:val="decimal"/>
      <w:lvlText w:val="%7."/>
      <w:lvlJc w:val="left"/>
      <w:pPr>
        <w:ind w:left="5040" w:hanging="360"/>
      </w:pPr>
    </w:lvl>
    <w:lvl w:ilvl="7" w:tplc="67A80FD0" w:tentative="1">
      <w:start w:val="1"/>
      <w:numFmt w:val="lowerLetter"/>
      <w:lvlText w:val="%8."/>
      <w:lvlJc w:val="left"/>
      <w:pPr>
        <w:ind w:left="5760" w:hanging="360"/>
      </w:pPr>
    </w:lvl>
    <w:lvl w:ilvl="8" w:tplc="FA1476E0" w:tentative="1">
      <w:start w:val="1"/>
      <w:numFmt w:val="lowerRoman"/>
      <w:lvlText w:val="%9."/>
      <w:lvlJc w:val="right"/>
      <w:pPr>
        <w:ind w:left="6480" w:hanging="180"/>
      </w:pPr>
    </w:lvl>
  </w:abstractNum>
  <w:abstractNum w:abstractNumId="13" w15:restartNumberingAfterBreak="0">
    <w:nsid w:val="387231AC"/>
    <w:multiLevelType w:val="hybridMultilevel"/>
    <w:tmpl w:val="8D7EA718"/>
    <w:lvl w:ilvl="0" w:tplc="CF465440">
      <w:start w:val="11"/>
      <w:numFmt w:val="upperRoman"/>
      <w:lvlText w:val="%1."/>
      <w:lvlJc w:val="left"/>
      <w:pPr>
        <w:ind w:left="1080" w:hanging="720"/>
      </w:pPr>
      <w:rPr>
        <w:rFonts w:hint="default"/>
      </w:rPr>
    </w:lvl>
    <w:lvl w:ilvl="1" w:tplc="89F27F30" w:tentative="1">
      <w:start w:val="1"/>
      <w:numFmt w:val="lowerLetter"/>
      <w:lvlText w:val="%2."/>
      <w:lvlJc w:val="left"/>
      <w:pPr>
        <w:ind w:left="1440" w:hanging="360"/>
      </w:pPr>
    </w:lvl>
    <w:lvl w:ilvl="2" w:tplc="B56EE218" w:tentative="1">
      <w:start w:val="1"/>
      <w:numFmt w:val="lowerRoman"/>
      <w:lvlText w:val="%3."/>
      <w:lvlJc w:val="right"/>
      <w:pPr>
        <w:ind w:left="2160" w:hanging="180"/>
      </w:pPr>
    </w:lvl>
    <w:lvl w:ilvl="3" w:tplc="67768CD8" w:tentative="1">
      <w:start w:val="1"/>
      <w:numFmt w:val="decimal"/>
      <w:lvlText w:val="%4."/>
      <w:lvlJc w:val="left"/>
      <w:pPr>
        <w:ind w:left="2880" w:hanging="360"/>
      </w:pPr>
    </w:lvl>
    <w:lvl w:ilvl="4" w:tplc="B282DBBE" w:tentative="1">
      <w:start w:val="1"/>
      <w:numFmt w:val="lowerLetter"/>
      <w:lvlText w:val="%5."/>
      <w:lvlJc w:val="left"/>
      <w:pPr>
        <w:ind w:left="3600" w:hanging="360"/>
      </w:pPr>
    </w:lvl>
    <w:lvl w:ilvl="5" w:tplc="AD4000B8" w:tentative="1">
      <w:start w:val="1"/>
      <w:numFmt w:val="lowerRoman"/>
      <w:lvlText w:val="%6."/>
      <w:lvlJc w:val="right"/>
      <w:pPr>
        <w:ind w:left="4320" w:hanging="180"/>
      </w:pPr>
    </w:lvl>
    <w:lvl w:ilvl="6" w:tplc="0DCEF272" w:tentative="1">
      <w:start w:val="1"/>
      <w:numFmt w:val="decimal"/>
      <w:lvlText w:val="%7."/>
      <w:lvlJc w:val="left"/>
      <w:pPr>
        <w:ind w:left="5040" w:hanging="360"/>
      </w:pPr>
    </w:lvl>
    <w:lvl w:ilvl="7" w:tplc="A81CD150" w:tentative="1">
      <w:start w:val="1"/>
      <w:numFmt w:val="lowerLetter"/>
      <w:lvlText w:val="%8."/>
      <w:lvlJc w:val="left"/>
      <w:pPr>
        <w:ind w:left="5760" w:hanging="360"/>
      </w:pPr>
    </w:lvl>
    <w:lvl w:ilvl="8" w:tplc="96D03482" w:tentative="1">
      <w:start w:val="1"/>
      <w:numFmt w:val="lowerRoman"/>
      <w:lvlText w:val="%9."/>
      <w:lvlJc w:val="right"/>
      <w:pPr>
        <w:ind w:left="6480" w:hanging="180"/>
      </w:pPr>
    </w:lvl>
  </w:abstractNum>
  <w:abstractNum w:abstractNumId="14" w15:restartNumberingAfterBreak="0">
    <w:nsid w:val="3B166F66"/>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346B04"/>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422C5"/>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4C17C4"/>
    <w:multiLevelType w:val="multilevel"/>
    <w:tmpl w:val="A18AB3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8" w15:restartNumberingAfterBreak="0">
    <w:nsid w:val="40176163"/>
    <w:multiLevelType w:val="multilevel"/>
    <w:tmpl w:val="EC6A387C"/>
    <w:lvl w:ilvl="0">
      <w:start w:val="6"/>
      <w:numFmt w:val="lowerLetter"/>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5F461F1"/>
    <w:multiLevelType w:val="hybridMultilevel"/>
    <w:tmpl w:val="8320F484"/>
    <w:lvl w:ilvl="0" w:tplc="5CAEDC16">
      <w:numFmt w:val="bullet"/>
      <w:lvlText w:val="-"/>
      <w:lvlJc w:val="left"/>
      <w:pPr>
        <w:ind w:left="720" w:hanging="360"/>
      </w:pPr>
      <w:rPr>
        <w:rFonts w:ascii="Tahoma" w:eastAsia="Times New Roman" w:hAnsi="Tahoma" w:cs="Tahoma" w:hint="default"/>
      </w:rPr>
    </w:lvl>
    <w:lvl w:ilvl="1" w:tplc="B8205324">
      <w:start w:val="1"/>
      <w:numFmt w:val="bullet"/>
      <w:lvlText w:val="o"/>
      <w:lvlJc w:val="left"/>
      <w:pPr>
        <w:ind w:left="1440" w:hanging="360"/>
      </w:pPr>
      <w:rPr>
        <w:rFonts w:ascii="Courier New" w:hAnsi="Courier New" w:cs="Courier New" w:hint="default"/>
      </w:rPr>
    </w:lvl>
    <w:lvl w:ilvl="2" w:tplc="F9CA4A22">
      <w:start w:val="1"/>
      <w:numFmt w:val="bullet"/>
      <w:lvlText w:val=""/>
      <w:lvlJc w:val="left"/>
      <w:pPr>
        <w:ind w:left="2160" w:hanging="360"/>
      </w:pPr>
      <w:rPr>
        <w:rFonts w:ascii="Wingdings" w:hAnsi="Wingdings" w:hint="default"/>
      </w:rPr>
    </w:lvl>
    <w:lvl w:ilvl="3" w:tplc="83CCBAA6">
      <w:start w:val="1"/>
      <w:numFmt w:val="bullet"/>
      <w:lvlText w:val=""/>
      <w:lvlJc w:val="left"/>
      <w:pPr>
        <w:ind w:left="2880" w:hanging="360"/>
      </w:pPr>
      <w:rPr>
        <w:rFonts w:ascii="Symbol" w:hAnsi="Symbol" w:hint="default"/>
      </w:rPr>
    </w:lvl>
    <w:lvl w:ilvl="4" w:tplc="12E07B2C">
      <w:start w:val="1"/>
      <w:numFmt w:val="bullet"/>
      <w:lvlText w:val="o"/>
      <w:lvlJc w:val="left"/>
      <w:pPr>
        <w:ind w:left="3600" w:hanging="360"/>
      </w:pPr>
      <w:rPr>
        <w:rFonts w:ascii="Courier New" w:hAnsi="Courier New" w:cs="Courier New" w:hint="default"/>
      </w:rPr>
    </w:lvl>
    <w:lvl w:ilvl="5" w:tplc="E1A07A50">
      <w:start w:val="1"/>
      <w:numFmt w:val="bullet"/>
      <w:lvlText w:val=""/>
      <w:lvlJc w:val="left"/>
      <w:pPr>
        <w:ind w:left="4320" w:hanging="360"/>
      </w:pPr>
      <w:rPr>
        <w:rFonts w:ascii="Wingdings" w:hAnsi="Wingdings" w:hint="default"/>
      </w:rPr>
    </w:lvl>
    <w:lvl w:ilvl="6" w:tplc="C6C630E2">
      <w:start w:val="1"/>
      <w:numFmt w:val="bullet"/>
      <w:lvlText w:val=""/>
      <w:lvlJc w:val="left"/>
      <w:pPr>
        <w:ind w:left="5040" w:hanging="360"/>
      </w:pPr>
      <w:rPr>
        <w:rFonts w:ascii="Symbol" w:hAnsi="Symbol" w:hint="default"/>
      </w:rPr>
    </w:lvl>
    <w:lvl w:ilvl="7" w:tplc="AC8286DE">
      <w:start w:val="1"/>
      <w:numFmt w:val="bullet"/>
      <w:lvlText w:val="o"/>
      <w:lvlJc w:val="left"/>
      <w:pPr>
        <w:ind w:left="5760" w:hanging="360"/>
      </w:pPr>
      <w:rPr>
        <w:rFonts w:ascii="Courier New" w:hAnsi="Courier New" w:cs="Courier New" w:hint="default"/>
      </w:rPr>
    </w:lvl>
    <w:lvl w:ilvl="8" w:tplc="70C47DBA">
      <w:start w:val="1"/>
      <w:numFmt w:val="bullet"/>
      <w:lvlText w:val=""/>
      <w:lvlJc w:val="left"/>
      <w:pPr>
        <w:ind w:left="6480" w:hanging="360"/>
      </w:pPr>
      <w:rPr>
        <w:rFonts w:ascii="Wingdings" w:hAnsi="Wingdings" w:hint="default"/>
      </w:rPr>
    </w:lvl>
  </w:abstractNum>
  <w:abstractNum w:abstractNumId="20" w15:restartNumberingAfterBreak="0">
    <w:nsid w:val="4A72356B"/>
    <w:multiLevelType w:val="multilevel"/>
    <w:tmpl w:val="A18AB3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 w15:restartNumberingAfterBreak="0">
    <w:nsid w:val="4B9D1057"/>
    <w:multiLevelType w:val="hybridMultilevel"/>
    <w:tmpl w:val="0F2E98FC"/>
    <w:lvl w:ilvl="0" w:tplc="E0C6C1F2">
      <w:start w:val="1"/>
      <w:numFmt w:val="bullet"/>
      <w:lvlText w:val=""/>
      <w:lvlJc w:val="left"/>
      <w:pPr>
        <w:ind w:left="360" w:hanging="360"/>
      </w:pPr>
      <w:rPr>
        <w:rFonts w:ascii="Symbol" w:hAnsi="Symbol" w:hint="default"/>
      </w:rPr>
    </w:lvl>
    <w:lvl w:ilvl="1" w:tplc="16AE958E">
      <w:start w:val="1"/>
      <w:numFmt w:val="bullet"/>
      <w:lvlText w:val="o"/>
      <w:lvlJc w:val="left"/>
      <w:pPr>
        <w:ind w:left="1080" w:hanging="360"/>
      </w:pPr>
      <w:rPr>
        <w:rFonts w:ascii="Courier New" w:hAnsi="Courier New" w:cs="Courier New" w:hint="default"/>
      </w:rPr>
    </w:lvl>
    <w:lvl w:ilvl="2" w:tplc="E0E8C62C">
      <w:start w:val="1"/>
      <w:numFmt w:val="bullet"/>
      <w:lvlText w:val=""/>
      <w:lvlJc w:val="left"/>
      <w:pPr>
        <w:ind w:left="1800" w:hanging="360"/>
      </w:pPr>
      <w:rPr>
        <w:rFonts w:ascii="Wingdings" w:hAnsi="Wingdings" w:hint="default"/>
      </w:rPr>
    </w:lvl>
    <w:lvl w:ilvl="3" w:tplc="0144E082">
      <w:start w:val="1"/>
      <w:numFmt w:val="bullet"/>
      <w:lvlText w:val=""/>
      <w:lvlJc w:val="left"/>
      <w:pPr>
        <w:ind w:left="2520" w:hanging="360"/>
      </w:pPr>
      <w:rPr>
        <w:rFonts w:ascii="Symbol" w:hAnsi="Symbol" w:hint="default"/>
      </w:rPr>
    </w:lvl>
    <w:lvl w:ilvl="4" w:tplc="736A1732">
      <w:start w:val="1"/>
      <w:numFmt w:val="bullet"/>
      <w:lvlText w:val="o"/>
      <w:lvlJc w:val="left"/>
      <w:pPr>
        <w:ind w:left="3240" w:hanging="360"/>
      </w:pPr>
      <w:rPr>
        <w:rFonts w:ascii="Courier New" w:hAnsi="Courier New" w:cs="Courier New" w:hint="default"/>
      </w:rPr>
    </w:lvl>
    <w:lvl w:ilvl="5" w:tplc="2540711A">
      <w:start w:val="1"/>
      <w:numFmt w:val="bullet"/>
      <w:lvlText w:val=""/>
      <w:lvlJc w:val="left"/>
      <w:pPr>
        <w:ind w:left="3960" w:hanging="360"/>
      </w:pPr>
      <w:rPr>
        <w:rFonts w:ascii="Wingdings" w:hAnsi="Wingdings" w:hint="default"/>
      </w:rPr>
    </w:lvl>
    <w:lvl w:ilvl="6" w:tplc="8068B134">
      <w:start w:val="1"/>
      <w:numFmt w:val="bullet"/>
      <w:lvlText w:val=""/>
      <w:lvlJc w:val="left"/>
      <w:pPr>
        <w:ind w:left="4680" w:hanging="360"/>
      </w:pPr>
      <w:rPr>
        <w:rFonts w:ascii="Symbol" w:hAnsi="Symbol" w:hint="default"/>
      </w:rPr>
    </w:lvl>
    <w:lvl w:ilvl="7" w:tplc="A762C3FE">
      <w:start w:val="1"/>
      <w:numFmt w:val="bullet"/>
      <w:lvlText w:val="o"/>
      <w:lvlJc w:val="left"/>
      <w:pPr>
        <w:ind w:left="5400" w:hanging="360"/>
      </w:pPr>
      <w:rPr>
        <w:rFonts w:ascii="Courier New" w:hAnsi="Courier New" w:cs="Courier New" w:hint="default"/>
      </w:rPr>
    </w:lvl>
    <w:lvl w:ilvl="8" w:tplc="A34AB900">
      <w:start w:val="1"/>
      <w:numFmt w:val="bullet"/>
      <w:lvlText w:val=""/>
      <w:lvlJc w:val="left"/>
      <w:pPr>
        <w:ind w:left="6120" w:hanging="360"/>
      </w:pPr>
      <w:rPr>
        <w:rFonts w:ascii="Wingdings" w:hAnsi="Wingdings" w:hint="default"/>
      </w:rPr>
    </w:lvl>
  </w:abstractNum>
  <w:abstractNum w:abstractNumId="22" w15:restartNumberingAfterBreak="0">
    <w:nsid w:val="4CA6399E"/>
    <w:multiLevelType w:val="hybridMultilevel"/>
    <w:tmpl w:val="8F46D702"/>
    <w:lvl w:ilvl="0" w:tplc="53D691DE">
      <w:start w:val="1"/>
      <w:numFmt w:val="upperRoman"/>
      <w:lvlText w:val="%1."/>
      <w:lvlJc w:val="left"/>
      <w:pPr>
        <w:ind w:left="1080" w:hanging="720"/>
      </w:pPr>
      <w:rPr>
        <w:rFonts w:hint="default"/>
      </w:rPr>
    </w:lvl>
    <w:lvl w:ilvl="1" w:tplc="998ABF82" w:tentative="1">
      <w:start w:val="1"/>
      <w:numFmt w:val="lowerLetter"/>
      <w:lvlText w:val="%2."/>
      <w:lvlJc w:val="left"/>
      <w:pPr>
        <w:ind w:left="1440" w:hanging="360"/>
      </w:pPr>
    </w:lvl>
    <w:lvl w:ilvl="2" w:tplc="63BEDF8A" w:tentative="1">
      <w:start w:val="1"/>
      <w:numFmt w:val="lowerRoman"/>
      <w:lvlText w:val="%3."/>
      <w:lvlJc w:val="right"/>
      <w:pPr>
        <w:ind w:left="2160" w:hanging="180"/>
      </w:pPr>
    </w:lvl>
    <w:lvl w:ilvl="3" w:tplc="56C40DF0" w:tentative="1">
      <w:start w:val="1"/>
      <w:numFmt w:val="decimal"/>
      <w:lvlText w:val="%4."/>
      <w:lvlJc w:val="left"/>
      <w:pPr>
        <w:ind w:left="2880" w:hanging="360"/>
      </w:pPr>
    </w:lvl>
    <w:lvl w:ilvl="4" w:tplc="151C2CEC" w:tentative="1">
      <w:start w:val="1"/>
      <w:numFmt w:val="lowerLetter"/>
      <w:lvlText w:val="%5."/>
      <w:lvlJc w:val="left"/>
      <w:pPr>
        <w:ind w:left="3600" w:hanging="360"/>
      </w:pPr>
    </w:lvl>
    <w:lvl w:ilvl="5" w:tplc="E012AF88" w:tentative="1">
      <w:start w:val="1"/>
      <w:numFmt w:val="lowerRoman"/>
      <w:lvlText w:val="%6."/>
      <w:lvlJc w:val="right"/>
      <w:pPr>
        <w:ind w:left="4320" w:hanging="180"/>
      </w:pPr>
    </w:lvl>
    <w:lvl w:ilvl="6" w:tplc="86AAB882" w:tentative="1">
      <w:start w:val="1"/>
      <w:numFmt w:val="decimal"/>
      <w:lvlText w:val="%7."/>
      <w:lvlJc w:val="left"/>
      <w:pPr>
        <w:ind w:left="5040" w:hanging="360"/>
      </w:pPr>
    </w:lvl>
    <w:lvl w:ilvl="7" w:tplc="E7E62966" w:tentative="1">
      <w:start w:val="1"/>
      <w:numFmt w:val="lowerLetter"/>
      <w:lvlText w:val="%8."/>
      <w:lvlJc w:val="left"/>
      <w:pPr>
        <w:ind w:left="5760" w:hanging="360"/>
      </w:pPr>
    </w:lvl>
    <w:lvl w:ilvl="8" w:tplc="85687AD4" w:tentative="1">
      <w:start w:val="1"/>
      <w:numFmt w:val="lowerRoman"/>
      <w:lvlText w:val="%9."/>
      <w:lvlJc w:val="right"/>
      <w:pPr>
        <w:ind w:left="6480" w:hanging="180"/>
      </w:pPr>
    </w:lvl>
  </w:abstractNum>
  <w:abstractNum w:abstractNumId="23" w15:restartNumberingAfterBreak="0">
    <w:nsid w:val="4CA933B5"/>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CE2677"/>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45635B"/>
    <w:multiLevelType w:val="hybridMultilevel"/>
    <w:tmpl w:val="F1BEAA60"/>
    <w:lvl w:ilvl="0" w:tplc="F432D628">
      <w:start w:val="1"/>
      <w:numFmt w:val="bullet"/>
      <w:lvlText w:val=""/>
      <w:lvlJc w:val="left"/>
      <w:pPr>
        <w:ind w:left="720" w:hanging="360"/>
      </w:pPr>
      <w:rPr>
        <w:rFonts w:ascii="Symbol" w:hAnsi="Symbol" w:hint="default"/>
      </w:rPr>
    </w:lvl>
    <w:lvl w:ilvl="1" w:tplc="50B6E6F6">
      <w:start w:val="1"/>
      <w:numFmt w:val="bullet"/>
      <w:lvlText w:val="o"/>
      <w:lvlJc w:val="left"/>
      <w:pPr>
        <w:ind w:left="1440" w:hanging="360"/>
      </w:pPr>
      <w:rPr>
        <w:rFonts w:ascii="Courier New" w:hAnsi="Courier New" w:cs="Courier New" w:hint="default"/>
      </w:rPr>
    </w:lvl>
    <w:lvl w:ilvl="2" w:tplc="1EFE477E">
      <w:start w:val="1"/>
      <w:numFmt w:val="bullet"/>
      <w:lvlText w:val=""/>
      <w:lvlJc w:val="left"/>
      <w:pPr>
        <w:ind w:left="2160" w:hanging="360"/>
      </w:pPr>
      <w:rPr>
        <w:rFonts w:ascii="Wingdings" w:hAnsi="Wingdings" w:hint="default"/>
      </w:rPr>
    </w:lvl>
    <w:lvl w:ilvl="3" w:tplc="34527ED0">
      <w:start w:val="1"/>
      <w:numFmt w:val="bullet"/>
      <w:lvlText w:val=""/>
      <w:lvlJc w:val="left"/>
      <w:pPr>
        <w:ind w:left="2880" w:hanging="360"/>
      </w:pPr>
      <w:rPr>
        <w:rFonts w:ascii="Symbol" w:hAnsi="Symbol" w:hint="default"/>
      </w:rPr>
    </w:lvl>
    <w:lvl w:ilvl="4" w:tplc="58122CE6">
      <w:start w:val="1"/>
      <w:numFmt w:val="bullet"/>
      <w:lvlText w:val="o"/>
      <w:lvlJc w:val="left"/>
      <w:pPr>
        <w:ind w:left="3600" w:hanging="360"/>
      </w:pPr>
      <w:rPr>
        <w:rFonts w:ascii="Courier New" w:hAnsi="Courier New" w:cs="Courier New" w:hint="default"/>
      </w:rPr>
    </w:lvl>
    <w:lvl w:ilvl="5" w:tplc="D06C591A">
      <w:start w:val="1"/>
      <w:numFmt w:val="bullet"/>
      <w:lvlText w:val=""/>
      <w:lvlJc w:val="left"/>
      <w:pPr>
        <w:ind w:left="4320" w:hanging="360"/>
      </w:pPr>
      <w:rPr>
        <w:rFonts w:ascii="Wingdings" w:hAnsi="Wingdings" w:hint="default"/>
      </w:rPr>
    </w:lvl>
    <w:lvl w:ilvl="6" w:tplc="9EF0FB8A">
      <w:start w:val="1"/>
      <w:numFmt w:val="bullet"/>
      <w:lvlText w:val=""/>
      <w:lvlJc w:val="left"/>
      <w:pPr>
        <w:ind w:left="5040" w:hanging="360"/>
      </w:pPr>
      <w:rPr>
        <w:rFonts w:ascii="Symbol" w:hAnsi="Symbol" w:hint="default"/>
      </w:rPr>
    </w:lvl>
    <w:lvl w:ilvl="7" w:tplc="944CD2EC">
      <w:start w:val="1"/>
      <w:numFmt w:val="bullet"/>
      <w:lvlText w:val="o"/>
      <w:lvlJc w:val="left"/>
      <w:pPr>
        <w:ind w:left="5760" w:hanging="360"/>
      </w:pPr>
      <w:rPr>
        <w:rFonts w:ascii="Courier New" w:hAnsi="Courier New" w:cs="Courier New" w:hint="default"/>
      </w:rPr>
    </w:lvl>
    <w:lvl w:ilvl="8" w:tplc="5D1C6286">
      <w:start w:val="1"/>
      <w:numFmt w:val="bullet"/>
      <w:lvlText w:val=""/>
      <w:lvlJc w:val="left"/>
      <w:pPr>
        <w:ind w:left="6480" w:hanging="360"/>
      </w:pPr>
      <w:rPr>
        <w:rFonts w:ascii="Wingdings" w:hAnsi="Wingdings" w:hint="default"/>
      </w:rPr>
    </w:lvl>
  </w:abstractNum>
  <w:abstractNum w:abstractNumId="26" w15:restartNumberingAfterBreak="0">
    <w:nsid w:val="60FA1295"/>
    <w:multiLevelType w:val="hybridMultilevel"/>
    <w:tmpl w:val="1160FA2A"/>
    <w:lvl w:ilvl="0" w:tplc="4A307290">
      <w:start w:val="11"/>
      <w:numFmt w:val="upperRoman"/>
      <w:lvlText w:val="%1."/>
      <w:lvlJc w:val="left"/>
      <w:pPr>
        <w:ind w:left="1080" w:hanging="720"/>
      </w:pPr>
      <w:rPr>
        <w:rFonts w:hint="default"/>
      </w:rPr>
    </w:lvl>
    <w:lvl w:ilvl="1" w:tplc="78AE37AC" w:tentative="1">
      <w:start w:val="1"/>
      <w:numFmt w:val="lowerLetter"/>
      <w:lvlText w:val="%2."/>
      <w:lvlJc w:val="left"/>
      <w:pPr>
        <w:ind w:left="1440" w:hanging="360"/>
      </w:pPr>
    </w:lvl>
    <w:lvl w:ilvl="2" w:tplc="34CE4C0E" w:tentative="1">
      <w:start w:val="1"/>
      <w:numFmt w:val="lowerRoman"/>
      <w:lvlText w:val="%3."/>
      <w:lvlJc w:val="right"/>
      <w:pPr>
        <w:ind w:left="2160" w:hanging="180"/>
      </w:pPr>
    </w:lvl>
    <w:lvl w:ilvl="3" w:tplc="0F268FD0" w:tentative="1">
      <w:start w:val="1"/>
      <w:numFmt w:val="decimal"/>
      <w:lvlText w:val="%4."/>
      <w:lvlJc w:val="left"/>
      <w:pPr>
        <w:ind w:left="2880" w:hanging="360"/>
      </w:pPr>
    </w:lvl>
    <w:lvl w:ilvl="4" w:tplc="A48ABB68" w:tentative="1">
      <w:start w:val="1"/>
      <w:numFmt w:val="lowerLetter"/>
      <w:lvlText w:val="%5."/>
      <w:lvlJc w:val="left"/>
      <w:pPr>
        <w:ind w:left="3600" w:hanging="360"/>
      </w:pPr>
    </w:lvl>
    <w:lvl w:ilvl="5" w:tplc="3982ABE0" w:tentative="1">
      <w:start w:val="1"/>
      <w:numFmt w:val="lowerRoman"/>
      <w:lvlText w:val="%6."/>
      <w:lvlJc w:val="right"/>
      <w:pPr>
        <w:ind w:left="4320" w:hanging="180"/>
      </w:pPr>
    </w:lvl>
    <w:lvl w:ilvl="6" w:tplc="32847BD2" w:tentative="1">
      <w:start w:val="1"/>
      <w:numFmt w:val="decimal"/>
      <w:lvlText w:val="%7."/>
      <w:lvlJc w:val="left"/>
      <w:pPr>
        <w:ind w:left="5040" w:hanging="360"/>
      </w:pPr>
    </w:lvl>
    <w:lvl w:ilvl="7" w:tplc="BC989DA8" w:tentative="1">
      <w:start w:val="1"/>
      <w:numFmt w:val="lowerLetter"/>
      <w:lvlText w:val="%8."/>
      <w:lvlJc w:val="left"/>
      <w:pPr>
        <w:ind w:left="5760" w:hanging="360"/>
      </w:pPr>
    </w:lvl>
    <w:lvl w:ilvl="8" w:tplc="C16A8812" w:tentative="1">
      <w:start w:val="1"/>
      <w:numFmt w:val="lowerRoman"/>
      <w:lvlText w:val="%9."/>
      <w:lvlJc w:val="right"/>
      <w:pPr>
        <w:ind w:left="6480" w:hanging="180"/>
      </w:pPr>
    </w:lvl>
  </w:abstractNum>
  <w:abstractNum w:abstractNumId="27" w15:restartNumberingAfterBreak="0">
    <w:nsid w:val="613D3B5B"/>
    <w:multiLevelType w:val="hybridMultilevel"/>
    <w:tmpl w:val="124EABAC"/>
    <w:lvl w:ilvl="0" w:tplc="ED545AA4">
      <w:numFmt w:val="bullet"/>
      <w:lvlText w:val="-"/>
      <w:lvlJc w:val="left"/>
      <w:pPr>
        <w:ind w:left="720" w:hanging="360"/>
      </w:pPr>
      <w:rPr>
        <w:rFonts w:ascii="Tahoma" w:eastAsia="Times New Roman" w:hAnsi="Tahoma" w:cs="Tahoma" w:hint="default"/>
      </w:rPr>
    </w:lvl>
    <w:lvl w:ilvl="1" w:tplc="99F25B9C">
      <w:start w:val="1"/>
      <w:numFmt w:val="bullet"/>
      <w:lvlText w:val="o"/>
      <w:lvlJc w:val="left"/>
      <w:pPr>
        <w:ind w:left="1440" w:hanging="360"/>
      </w:pPr>
      <w:rPr>
        <w:rFonts w:ascii="Courier New" w:hAnsi="Courier New" w:cs="Courier New" w:hint="default"/>
      </w:rPr>
    </w:lvl>
    <w:lvl w:ilvl="2" w:tplc="D666C252">
      <w:start w:val="1"/>
      <w:numFmt w:val="bullet"/>
      <w:lvlText w:val=""/>
      <w:lvlJc w:val="left"/>
      <w:pPr>
        <w:ind w:left="2160" w:hanging="360"/>
      </w:pPr>
      <w:rPr>
        <w:rFonts w:ascii="Wingdings" w:hAnsi="Wingdings" w:hint="default"/>
      </w:rPr>
    </w:lvl>
    <w:lvl w:ilvl="3" w:tplc="4852EBB2">
      <w:start w:val="1"/>
      <w:numFmt w:val="bullet"/>
      <w:lvlText w:val=""/>
      <w:lvlJc w:val="left"/>
      <w:pPr>
        <w:ind w:left="2880" w:hanging="360"/>
      </w:pPr>
      <w:rPr>
        <w:rFonts w:ascii="Symbol" w:hAnsi="Symbol" w:hint="default"/>
      </w:rPr>
    </w:lvl>
    <w:lvl w:ilvl="4" w:tplc="A710BD7E">
      <w:start w:val="1"/>
      <w:numFmt w:val="bullet"/>
      <w:lvlText w:val="o"/>
      <w:lvlJc w:val="left"/>
      <w:pPr>
        <w:ind w:left="3600" w:hanging="360"/>
      </w:pPr>
      <w:rPr>
        <w:rFonts w:ascii="Courier New" w:hAnsi="Courier New" w:cs="Courier New" w:hint="default"/>
      </w:rPr>
    </w:lvl>
    <w:lvl w:ilvl="5" w:tplc="09044148">
      <w:start w:val="1"/>
      <w:numFmt w:val="bullet"/>
      <w:lvlText w:val=""/>
      <w:lvlJc w:val="left"/>
      <w:pPr>
        <w:ind w:left="4320" w:hanging="360"/>
      </w:pPr>
      <w:rPr>
        <w:rFonts w:ascii="Wingdings" w:hAnsi="Wingdings" w:hint="default"/>
      </w:rPr>
    </w:lvl>
    <w:lvl w:ilvl="6" w:tplc="F4C611B8">
      <w:start w:val="1"/>
      <w:numFmt w:val="bullet"/>
      <w:lvlText w:val=""/>
      <w:lvlJc w:val="left"/>
      <w:pPr>
        <w:ind w:left="5040" w:hanging="360"/>
      </w:pPr>
      <w:rPr>
        <w:rFonts w:ascii="Symbol" w:hAnsi="Symbol" w:hint="default"/>
      </w:rPr>
    </w:lvl>
    <w:lvl w:ilvl="7" w:tplc="425AC77E">
      <w:start w:val="1"/>
      <w:numFmt w:val="bullet"/>
      <w:lvlText w:val="o"/>
      <w:lvlJc w:val="left"/>
      <w:pPr>
        <w:ind w:left="5760" w:hanging="360"/>
      </w:pPr>
      <w:rPr>
        <w:rFonts w:ascii="Courier New" w:hAnsi="Courier New" w:cs="Courier New" w:hint="default"/>
      </w:rPr>
    </w:lvl>
    <w:lvl w:ilvl="8" w:tplc="D818C378">
      <w:start w:val="1"/>
      <w:numFmt w:val="bullet"/>
      <w:lvlText w:val=""/>
      <w:lvlJc w:val="left"/>
      <w:pPr>
        <w:ind w:left="6480" w:hanging="360"/>
      </w:pPr>
      <w:rPr>
        <w:rFonts w:ascii="Wingdings" w:hAnsi="Wingdings" w:hint="default"/>
      </w:rPr>
    </w:lvl>
  </w:abstractNum>
  <w:abstractNum w:abstractNumId="28" w15:restartNumberingAfterBreak="0">
    <w:nsid w:val="675A46E3"/>
    <w:multiLevelType w:val="multilevel"/>
    <w:tmpl w:val="918E858A"/>
    <w:lvl w:ilvl="0">
      <w:start w:val="1"/>
      <w:numFmt w:val="lowerLetter"/>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E61843"/>
    <w:multiLevelType w:val="hybridMultilevel"/>
    <w:tmpl w:val="F658229C"/>
    <w:lvl w:ilvl="0" w:tplc="5D2828DC">
      <w:start w:val="1"/>
      <w:numFmt w:val="decimal"/>
      <w:lvlText w:val="%1."/>
      <w:lvlJc w:val="left"/>
      <w:pPr>
        <w:ind w:left="502" w:hanging="360"/>
      </w:pPr>
      <w:rPr>
        <w:lang w:val="en-GB"/>
      </w:rPr>
    </w:lvl>
    <w:lvl w:ilvl="1" w:tplc="F1DC216A">
      <w:start w:val="1"/>
      <w:numFmt w:val="lowerLetter"/>
      <w:lvlText w:val="%2."/>
      <w:lvlJc w:val="left"/>
      <w:pPr>
        <w:ind w:left="1440" w:hanging="360"/>
      </w:pPr>
    </w:lvl>
    <w:lvl w:ilvl="2" w:tplc="3EC2F838" w:tentative="1">
      <w:start w:val="1"/>
      <w:numFmt w:val="lowerRoman"/>
      <w:lvlText w:val="%3."/>
      <w:lvlJc w:val="right"/>
      <w:pPr>
        <w:ind w:left="2160" w:hanging="180"/>
      </w:pPr>
    </w:lvl>
    <w:lvl w:ilvl="3" w:tplc="07803DCE" w:tentative="1">
      <w:start w:val="1"/>
      <w:numFmt w:val="decimal"/>
      <w:lvlText w:val="%4."/>
      <w:lvlJc w:val="left"/>
      <w:pPr>
        <w:ind w:left="2880" w:hanging="360"/>
      </w:pPr>
    </w:lvl>
    <w:lvl w:ilvl="4" w:tplc="8644766E" w:tentative="1">
      <w:start w:val="1"/>
      <w:numFmt w:val="lowerLetter"/>
      <w:lvlText w:val="%5."/>
      <w:lvlJc w:val="left"/>
      <w:pPr>
        <w:ind w:left="3600" w:hanging="360"/>
      </w:pPr>
    </w:lvl>
    <w:lvl w:ilvl="5" w:tplc="F20682AE" w:tentative="1">
      <w:start w:val="1"/>
      <w:numFmt w:val="lowerRoman"/>
      <w:lvlText w:val="%6."/>
      <w:lvlJc w:val="right"/>
      <w:pPr>
        <w:ind w:left="4320" w:hanging="180"/>
      </w:pPr>
    </w:lvl>
    <w:lvl w:ilvl="6" w:tplc="F154AF24" w:tentative="1">
      <w:start w:val="1"/>
      <w:numFmt w:val="decimal"/>
      <w:lvlText w:val="%7."/>
      <w:lvlJc w:val="left"/>
      <w:pPr>
        <w:ind w:left="5040" w:hanging="360"/>
      </w:pPr>
    </w:lvl>
    <w:lvl w:ilvl="7" w:tplc="65A27C38" w:tentative="1">
      <w:start w:val="1"/>
      <w:numFmt w:val="lowerLetter"/>
      <w:lvlText w:val="%8."/>
      <w:lvlJc w:val="left"/>
      <w:pPr>
        <w:ind w:left="5760" w:hanging="360"/>
      </w:pPr>
    </w:lvl>
    <w:lvl w:ilvl="8" w:tplc="DF041AFC" w:tentative="1">
      <w:start w:val="1"/>
      <w:numFmt w:val="lowerRoman"/>
      <w:lvlText w:val="%9."/>
      <w:lvlJc w:val="right"/>
      <w:pPr>
        <w:ind w:left="6480" w:hanging="180"/>
      </w:pPr>
    </w:lvl>
  </w:abstractNum>
  <w:abstractNum w:abstractNumId="30" w15:restartNumberingAfterBreak="0">
    <w:nsid w:val="77526019"/>
    <w:multiLevelType w:val="multilevel"/>
    <w:tmpl w:val="15827780"/>
    <w:lvl w:ilvl="0">
      <w:start w:val="1"/>
      <w:numFmt w:val="lowerLetter"/>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A6394D"/>
    <w:multiLevelType w:val="multilevel"/>
    <w:tmpl w:val="17986FBC"/>
    <w:lvl w:ilvl="0">
      <w:start w:val="1"/>
      <w:numFmt w:val="lowerLetter"/>
      <w:lvlText w:val="%1."/>
      <w:lvlJc w:val="left"/>
      <w:pPr>
        <w:ind w:left="36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A35CFF"/>
    <w:multiLevelType w:val="multilevel"/>
    <w:tmpl w:val="7A48856C"/>
    <w:lvl w:ilvl="0">
      <w:start w:val="3"/>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6"/>
  </w:num>
  <w:num w:numId="3">
    <w:abstractNumId w:val="31"/>
  </w:num>
  <w:num w:numId="4">
    <w:abstractNumId w:val="2"/>
  </w:num>
  <w:num w:numId="5">
    <w:abstractNumId w:val="28"/>
  </w:num>
  <w:num w:numId="6">
    <w:abstractNumId w:val="11"/>
  </w:num>
  <w:num w:numId="7">
    <w:abstractNumId w:val="30"/>
  </w:num>
  <w:num w:numId="8">
    <w:abstractNumId w:val="6"/>
  </w:num>
  <w:num w:numId="9">
    <w:abstractNumId w:val="23"/>
  </w:num>
  <w:num w:numId="10">
    <w:abstractNumId w:val="24"/>
  </w:num>
  <w:num w:numId="11">
    <w:abstractNumId w:val="3"/>
  </w:num>
  <w:num w:numId="12">
    <w:abstractNumId w:val="29"/>
  </w:num>
  <w:num w:numId="13">
    <w:abstractNumId w:val="18"/>
  </w:num>
  <w:num w:numId="14">
    <w:abstractNumId w:val="7"/>
  </w:num>
  <w:num w:numId="15">
    <w:abstractNumId w:val="32"/>
  </w:num>
  <w:num w:numId="16">
    <w:abstractNumId w:val="27"/>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10"/>
  </w:num>
  <w:num w:numId="22">
    <w:abstractNumId w:val="19"/>
  </w:num>
  <w:num w:numId="23">
    <w:abstractNumId w:val="0"/>
  </w:num>
  <w:num w:numId="24">
    <w:abstractNumId w:val="15"/>
  </w:num>
  <w:num w:numId="25">
    <w:abstractNumId w:val="9"/>
  </w:num>
  <w:num w:numId="26">
    <w:abstractNumId w:val="8"/>
  </w:num>
  <w:num w:numId="27">
    <w:abstractNumId w:val="1"/>
  </w:num>
  <w:num w:numId="28">
    <w:abstractNumId w:val="14"/>
  </w:num>
  <w:num w:numId="29">
    <w:abstractNumId w:val="22"/>
  </w:num>
  <w:num w:numId="30">
    <w:abstractNumId w:val="12"/>
  </w:num>
  <w:num w:numId="31">
    <w:abstractNumId w:val="13"/>
  </w:num>
  <w:num w:numId="32">
    <w:abstractNumId w:val="26"/>
  </w:num>
  <w:num w:numId="3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425"/>
  <w:evenAndOddHeaders/>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B3"/>
    <w:rsid w:val="000013BB"/>
    <w:rsid w:val="00001853"/>
    <w:rsid w:val="00002F15"/>
    <w:rsid w:val="00003F59"/>
    <w:rsid w:val="00005C38"/>
    <w:rsid w:val="000067AE"/>
    <w:rsid w:val="00014CAE"/>
    <w:rsid w:val="00014EF8"/>
    <w:rsid w:val="000157C3"/>
    <w:rsid w:val="00015F1B"/>
    <w:rsid w:val="00016CCA"/>
    <w:rsid w:val="00017082"/>
    <w:rsid w:val="00017F75"/>
    <w:rsid w:val="0002046F"/>
    <w:rsid w:val="00020F98"/>
    <w:rsid w:val="000218D0"/>
    <w:rsid w:val="000224F0"/>
    <w:rsid w:val="000235EE"/>
    <w:rsid w:val="00023DC1"/>
    <w:rsid w:val="00024578"/>
    <w:rsid w:val="000247F4"/>
    <w:rsid w:val="000258E9"/>
    <w:rsid w:val="00025BF6"/>
    <w:rsid w:val="00027C86"/>
    <w:rsid w:val="00027FA5"/>
    <w:rsid w:val="00032507"/>
    <w:rsid w:val="00032940"/>
    <w:rsid w:val="00032FC0"/>
    <w:rsid w:val="000346E6"/>
    <w:rsid w:val="00036B39"/>
    <w:rsid w:val="000371A1"/>
    <w:rsid w:val="00041A5A"/>
    <w:rsid w:val="00041BAC"/>
    <w:rsid w:val="0004403A"/>
    <w:rsid w:val="000443FA"/>
    <w:rsid w:val="00044EDD"/>
    <w:rsid w:val="000463EA"/>
    <w:rsid w:val="00046BCE"/>
    <w:rsid w:val="00046FAE"/>
    <w:rsid w:val="00047CEC"/>
    <w:rsid w:val="000521CE"/>
    <w:rsid w:val="00052CA3"/>
    <w:rsid w:val="00053DE4"/>
    <w:rsid w:val="00055F34"/>
    <w:rsid w:val="00055F85"/>
    <w:rsid w:val="00056228"/>
    <w:rsid w:val="00057EA6"/>
    <w:rsid w:val="000604CB"/>
    <w:rsid w:val="000608F9"/>
    <w:rsid w:val="00061184"/>
    <w:rsid w:val="000618EC"/>
    <w:rsid w:val="000641DC"/>
    <w:rsid w:val="000663AF"/>
    <w:rsid w:val="00066B83"/>
    <w:rsid w:val="00067441"/>
    <w:rsid w:val="00067DFA"/>
    <w:rsid w:val="00070568"/>
    <w:rsid w:val="00072A2B"/>
    <w:rsid w:val="00073B0A"/>
    <w:rsid w:val="000746ED"/>
    <w:rsid w:val="000754B5"/>
    <w:rsid w:val="0007589B"/>
    <w:rsid w:val="000803CA"/>
    <w:rsid w:val="00080D1F"/>
    <w:rsid w:val="00080EA2"/>
    <w:rsid w:val="0008206B"/>
    <w:rsid w:val="000821CD"/>
    <w:rsid w:val="0008342D"/>
    <w:rsid w:val="000851C5"/>
    <w:rsid w:val="0008595A"/>
    <w:rsid w:val="00086DA3"/>
    <w:rsid w:val="0008741C"/>
    <w:rsid w:val="000907D7"/>
    <w:rsid w:val="00092301"/>
    <w:rsid w:val="00092343"/>
    <w:rsid w:val="00092E4D"/>
    <w:rsid w:val="000940B6"/>
    <w:rsid w:val="000953CE"/>
    <w:rsid w:val="00095C6D"/>
    <w:rsid w:val="0009682C"/>
    <w:rsid w:val="00096C13"/>
    <w:rsid w:val="00096D2F"/>
    <w:rsid w:val="00096DEE"/>
    <w:rsid w:val="00097E77"/>
    <w:rsid w:val="000A0C07"/>
    <w:rsid w:val="000A3EE2"/>
    <w:rsid w:val="000A5A52"/>
    <w:rsid w:val="000A6E5E"/>
    <w:rsid w:val="000A7C81"/>
    <w:rsid w:val="000B0404"/>
    <w:rsid w:val="000B04D4"/>
    <w:rsid w:val="000B0BC0"/>
    <w:rsid w:val="000B103E"/>
    <w:rsid w:val="000B1B55"/>
    <w:rsid w:val="000B1D62"/>
    <w:rsid w:val="000B20CA"/>
    <w:rsid w:val="000B32C2"/>
    <w:rsid w:val="000B402F"/>
    <w:rsid w:val="000B559E"/>
    <w:rsid w:val="000B6B74"/>
    <w:rsid w:val="000B75A0"/>
    <w:rsid w:val="000B7E96"/>
    <w:rsid w:val="000C1493"/>
    <w:rsid w:val="000C1FBF"/>
    <w:rsid w:val="000C44EE"/>
    <w:rsid w:val="000C4744"/>
    <w:rsid w:val="000C4B1F"/>
    <w:rsid w:val="000C4B2A"/>
    <w:rsid w:val="000C51C5"/>
    <w:rsid w:val="000C55F7"/>
    <w:rsid w:val="000C64C1"/>
    <w:rsid w:val="000D12E6"/>
    <w:rsid w:val="000D2AB6"/>
    <w:rsid w:val="000D3849"/>
    <w:rsid w:val="000D3CB3"/>
    <w:rsid w:val="000D3EBA"/>
    <w:rsid w:val="000D6F52"/>
    <w:rsid w:val="000E07DE"/>
    <w:rsid w:val="000E2DFA"/>
    <w:rsid w:val="000E2F6F"/>
    <w:rsid w:val="000E4865"/>
    <w:rsid w:val="000E6BED"/>
    <w:rsid w:val="000F47E8"/>
    <w:rsid w:val="000F4DD2"/>
    <w:rsid w:val="000F4E45"/>
    <w:rsid w:val="000F53DD"/>
    <w:rsid w:val="000F54C6"/>
    <w:rsid w:val="000F54E5"/>
    <w:rsid w:val="000F717C"/>
    <w:rsid w:val="000F7E75"/>
    <w:rsid w:val="000F7FD0"/>
    <w:rsid w:val="001014C7"/>
    <w:rsid w:val="00101FCD"/>
    <w:rsid w:val="00103D3A"/>
    <w:rsid w:val="00103ED3"/>
    <w:rsid w:val="00104EF5"/>
    <w:rsid w:val="00105A85"/>
    <w:rsid w:val="00105AB8"/>
    <w:rsid w:val="00106740"/>
    <w:rsid w:val="00106D93"/>
    <w:rsid w:val="00106D96"/>
    <w:rsid w:val="00106F5A"/>
    <w:rsid w:val="00107FCE"/>
    <w:rsid w:val="001120D8"/>
    <w:rsid w:val="00112812"/>
    <w:rsid w:val="001136A6"/>
    <w:rsid w:val="00114F05"/>
    <w:rsid w:val="00115032"/>
    <w:rsid w:val="00115D01"/>
    <w:rsid w:val="0011626D"/>
    <w:rsid w:val="00120F0D"/>
    <w:rsid w:val="00122069"/>
    <w:rsid w:val="0012299A"/>
    <w:rsid w:val="001231BB"/>
    <w:rsid w:val="0012383C"/>
    <w:rsid w:val="001239FD"/>
    <w:rsid w:val="0012507A"/>
    <w:rsid w:val="0012525E"/>
    <w:rsid w:val="001269D5"/>
    <w:rsid w:val="00130546"/>
    <w:rsid w:val="00130BA5"/>
    <w:rsid w:val="00130FE4"/>
    <w:rsid w:val="001313BD"/>
    <w:rsid w:val="001323F3"/>
    <w:rsid w:val="0013286B"/>
    <w:rsid w:val="001345C7"/>
    <w:rsid w:val="0013480A"/>
    <w:rsid w:val="00134BCB"/>
    <w:rsid w:val="0013593E"/>
    <w:rsid w:val="001366BA"/>
    <w:rsid w:val="00136989"/>
    <w:rsid w:val="001422FA"/>
    <w:rsid w:val="00142FA0"/>
    <w:rsid w:val="00143B56"/>
    <w:rsid w:val="001443D7"/>
    <w:rsid w:val="0014653F"/>
    <w:rsid w:val="00147C24"/>
    <w:rsid w:val="00150863"/>
    <w:rsid w:val="00151792"/>
    <w:rsid w:val="00157947"/>
    <w:rsid w:val="00157ADD"/>
    <w:rsid w:val="00160021"/>
    <w:rsid w:val="001614FE"/>
    <w:rsid w:val="0016150F"/>
    <w:rsid w:val="00163271"/>
    <w:rsid w:val="00164938"/>
    <w:rsid w:val="00167522"/>
    <w:rsid w:val="0016762E"/>
    <w:rsid w:val="0017039E"/>
    <w:rsid w:val="00170430"/>
    <w:rsid w:val="001707D2"/>
    <w:rsid w:val="001716B9"/>
    <w:rsid w:val="00171FD4"/>
    <w:rsid w:val="00172692"/>
    <w:rsid w:val="00172D0A"/>
    <w:rsid w:val="00174CB2"/>
    <w:rsid w:val="0017550B"/>
    <w:rsid w:val="00175652"/>
    <w:rsid w:val="001770A6"/>
    <w:rsid w:val="00177178"/>
    <w:rsid w:val="001771C0"/>
    <w:rsid w:val="00182711"/>
    <w:rsid w:val="00183482"/>
    <w:rsid w:val="0018659B"/>
    <w:rsid w:val="00187570"/>
    <w:rsid w:val="00190833"/>
    <w:rsid w:val="00190AFE"/>
    <w:rsid w:val="00190B08"/>
    <w:rsid w:val="001A2804"/>
    <w:rsid w:val="001A2F13"/>
    <w:rsid w:val="001A387C"/>
    <w:rsid w:val="001A38A8"/>
    <w:rsid w:val="001A40EF"/>
    <w:rsid w:val="001A43D5"/>
    <w:rsid w:val="001A527C"/>
    <w:rsid w:val="001A5EA1"/>
    <w:rsid w:val="001A6064"/>
    <w:rsid w:val="001A74A8"/>
    <w:rsid w:val="001A7B78"/>
    <w:rsid w:val="001B0F6F"/>
    <w:rsid w:val="001B28CE"/>
    <w:rsid w:val="001B3E47"/>
    <w:rsid w:val="001B58EA"/>
    <w:rsid w:val="001B5D57"/>
    <w:rsid w:val="001B7219"/>
    <w:rsid w:val="001B7336"/>
    <w:rsid w:val="001B783D"/>
    <w:rsid w:val="001B7A1F"/>
    <w:rsid w:val="001C0162"/>
    <w:rsid w:val="001C0862"/>
    <w:rsid w:val="001C2FCD"/>
    <w:rsid w:val="001C3FD3"/>
    <w:rsid w:val="001C57F2"/>
    <w:rsid w:val="001C678C"/>
    <w:rsid w:val="001C6A9F"/>
    <w:rsid w:val="001D08EB"/>
    <w:rsid w:val="001D0A49"/>
    <w:rsid w:val="001D0C01"/>
    <w:rsid w:val="001D2CCB"/>
    <w:rsid w:val="001D315A"/>
    <w:rsid w:val="001D3B56"/>
    <w:rsid w:val="001D7683"/>
    <w:rsid w:val="001D784F"/>
    <w:rsid w:val="001E0ED2"/>
    <w:rsid w:val="001E4154"/>
    <w:rsid w:val="001E5FD2"/>
    <w:rsid w:val="001E6DE4"/>
    <w:rsid w:val="001E71CA"/>
    <w:rsid w:val="001F0A7B"/>
    <w:rsid w:val="001F17F8"/>
    <w:rsid w:val="001F1D74"/>
    <w:rsid w:val="001F1F22"/>
    <w:rsid w:val="001F2B49"/>
    <w:rsid w:val="001F6078"/>
    <w:rsid w:val="00200423"/>
    <w:rsid w:val="00201451"/>
    <w:rsid w:val="002014CB"/>
    <w:rsid w:val="00201EA7"/>
    <w:rsid w:val="002026EA"/>
    <w:rsid w:val="00202C3E"/>
    <w:rsid w:val="00202D01"/>
    <w:rsid w:val="002034E2"/>
    <w:rsid w:val="002039B8"/>
    <w:rsid w:val="00204672"/>
    <w:rsid w:val="00204EED"/>
    <w:rsid w:val="002052A3"/>
    <w:rsid w:val="002063EF"/>
    <w:rsid w:val="00206F30"/>
    <w:rsid w:val="002109AD"/>
    <w:rsid w:val="002120E6"/>
    <w:rsid w:val="002140F3"/>
    <w:rsid w:val="00214835"/>
    <w:rsid w:val="002169B1"/>
    <w:rsid w:val="0021745C"/>
    <w:rsid w:val="0021788C"/>
    <w:rsid w:val="00220D96"/>
    <w:rsid w:val="002226E8"/>
    <w:rsid w:val="002233F8"/>
    <w:rsid w:val="0022374C"/>
    <w:rsid w:val="0022673E"/>
    <w:rsid w:val="00227A2B"/>
    <w:rsid w:val="00227B4C"/>
    <w:rsid w:val="00230012"/>
    <w:rsid w:val="00230E9C"/>
    <w:rsid w:val="00231868"/>
    <w:rsid w:val="00233348"/>
    <w:rsid w:val="002349DE"/>
    <w:rsid w:val="00236411"/>
    <w:rsid w:val="002365E8"/>
    <w:rsid w:val="0023678A"/>
    <w:rsid w:val="002368D2"/>
    <w:rsid w:val="002408FD"/>
    <w:rsid w:val="00241E58"/>
    <w:rsid w:val="002447C3"/>
    <w:rsid w:val="00246BD1"/>
    <w:rsid w:val="002474C3"/>
    <w:rsid w:val="00247FE7"/>
    <w:rsid w:val="002507C9"/>
    <w:rsid w:val="00250948"/>
    <w:rsid w:val="002516A7"/>
    <w:rsid w:val="00252385"/>
    <w:rsid w:val="002532F0"/>
    <w:rsid w:val="002549D2"/>
    <w:rsid w:val="002549E2"/>
    <w:rsid w:val="002559AF"/>
    <w:rsid w:val="00256B20"/>
    <w:rsid w:val="002579D9"/>
    <w:rsid w:val="002619EC"/>
    <w:rsid w:val="002628C6"/>
    <w:rsid w:val="00262B9B"/>
    <w:rsid w:val="00263D32"/>
    <w:rsid w:val="0026401A"/>
    <w:rsid w:val="00264141"/>
    <w:rsid w:val="002650ED"/>
    <w:rsid w:val="00265255"/>
    <w:rsid w:val="0026552B"/>
    <w:rsid w:val="00266380"/>
    <w:rsid w:val="00266558"/>
    <w:rsid w:val="002671DB"/>
    <w:rsid w:val="00270CC6"/>
    <w:rsid w:val="00271CC4"/>
    <w:rsid w:val="00272DC1"/>
    <w:rsid w:val="00273EC1"/>
    <w:rsid w:val="002747F1"/>
    <w:rsid w:val="002804A4"/>
    <w:rsid w:val="002814CD"/>
    <w:rsid w:val="00282621"/>
    <w:rsid w:val="002829C7"/>
    <w:rsid w:val="00283B64"/>
    <w:rsid w:val="00283E3C"/>
    <w:rsid w:val="00285866"/>
    <w:rsid w:val="00285B9D"/>
    <w:rsid w:val="00285C69"/>
    <w:rsid w:val="00286BD4"/>
    <w:rsid w:val="002876F8"/>
    <w:rsid w:val="00287E86"/>
    <w:rsid w:val="002901FA"/>
    <w:rsid w:val="00290F15"/>
    <w:rsid w:val="00290FFD"/>
    <w:rsid w:val="002923D7"/>
    <w:rsid w:val="00292F4E"/>
    <w:rsid w:val="00293242"/>
    <w:rsid w:val="00293F97"/>
    <w:rsid w:val="002942A6"/>
    <w:rsid w:val="00294621"/>
    <w:rsid w:val="00294B0B"/>
    <w:rsid w:val="00295837"/>
    <w:rsid w:val="002959EE"/>
    <w:rsid w:val="00297AE8"/>
    <w:rsid w:val="002A166A"/>
    <w:rsid w:val="002A3ABC"/>
    <w:rsid w:val="002A566C"/>
    <w:rsid w:val="002A567D"/>
    <w:rsid w:val="002A6550"/>
    <w:rsid w:val="002A7F95"/>
    <w:rsid w:val="002B08F2"/>
    <w:rsid w:val="002B2675"/>
    <w:rsid w:val="002B356A"/>
    <w:rsid w:val="002B3DDF"/>
    <w:rsid w:val="002B4002"/>
    <w:rsid w:val="002B5544"/>
    <w:rsid w:val="002B65E1"/>
    <w:rsid w:val="002B67F1"/>
    <w:rsid w:val="002B6EA2"/>
    <w:rsid w:val="002C1E36"/>
    <w:rsid w:val="002C25E4"/>
    <w:rsid w:val="002C2A83"/>
    <w:rsid w:val="002C3818"/>
    <w:rsid w:val="002C5291"/>
    <w:rsid w:val="002C5B8E"/>
    <w:rsid w:val="002C6968"/>
    <w:rsid w:val="002C6B52"/>
    <w:rsid w:val="002C762B"/>
    <w:rsid w:val="002D2A76"/>
    <w:rsid w:val="002D4972"/>
    <w:rsid w:val="002D589A"/>
    <w:rsid w:val="002D65DB"/>
    <w:rsid w:val="002D7B88"/>
    <w:rsid w:val="002E0819"/>
    <w:rsid w:val="002E1343"/>
    <w:rsid w:val="002E367B"/>
    <w:rsid w:val="002E3C24"/>
    <w:rsid w:val="002E5CC2"/>
    <w:rsid w:val="002E7D81"/>
    <w:rsid w:val="002F0B81"/>
    <w:rsid w:val="002F11A4"/>
    <w:rsid w:val="002F1EAC"/>
    <w:rsid w:val="002F290F"/>
    <w:rsid w:val="002F2EA0"/>
    <w:rsid w:val="002F3939"/>
    <w:rsid w:val="002F3FF6"/>
    <w:rsid w:val="002F5E0B"/>
    <w:rsid w:val="002F6378"/>
    <w:rsid w:val="002F6A0B"/>
    <w:rsid w:val="002F774F"/>
    <w:rsid w:val="002F789A"/>
    <w:rsid w:val="00301D54"/>
    <w:rsid w:val="00302AB5"/>
    <w:rsid w:val="003041EA"/>
    <w:rsid w:val="00306458"/>
    <w:rsid w:val="00310FE3"/>
    <w:rsid w:val="003111E1"/>
    <w:rsid w:val="00311F56"/>
    <w:rsid w:val="00312A07"/>
    <w:rsid w:val="003146C6"/>
    <w:rsid w:val="003166E3"/>
    <w:rsid w:val="00323554"/>
    <w:rsid w:val="00323606"/>
    <w:rsid w:val="00323BEA"/>
    <w:rsid w:val="003264F5"/>
    <w:rsid w:val="003272D3"/>
    <w:rsid w:val="00327435"/>
    <w:rsid w:val="003312EC"/>
    <w:rsid w:val="00331B2D"/>
    <w:rsid w:val="00331CA1"/>
    <w:rsid w:val="00332840"/>
    <w:rsid w:val="00333288"/>
    <w:rsid w:val="00333BFA"/>
    <w:rsid w:val="00336C3D"/>
    <w:rsid w:val="00336F1E"/>
    <w:rsid w:val="0034222D"/>
    <w:rsid w:val="00342324"/>
    <w:rsid w:val="003428DC"/>
    <w:rsid w:val="00342C76"/>
    <w:rsid w:val="00343FD3"/>
    <w:rsid w:val="00344CA6"/>
    <w:rsid w:val="00347293"/>
    <w:rsid w:val="00347560"/>
    <w:rsid w:val="003478B6"/>
    <w:rsid w:val="00347AA0"/>
    <w:rsid w:val="00347AFB"/>
    <w:rsid w:val="00347F10"/>
    <w:rsid w:val="0035130E"/>
    <w:rsid w:val="00352111"/>
    <w:rsid w:val="00352164"/>
    <w:rsid w:val="00352AF5"/>
    <w:rsid w:val="003533EE"/>
    <w:rsid w:val="003549F3"/>
    <w:rsid w:val="00356822"/>
    <w:rsid w:val="00356C33"/>
    <w:rsid w:val="00357479"/>
    <w:rsid w:val="0036103C"/>
    <w:rsid w:val="00361484"/>
    <w:rsid w:val="003618C1"/>
    <w:rsid w:val="00362432"/>
    <w:rsid w:val="00366750"/>
    <w:rsid w:val="003708C3"/>
    <w:rsid w:val="0037093A"/>
    <w:rsid w:val="00371DEC"/>
    <w:rsid w:val="00372811"/>
    <w:rsid w:val="0037285A"/>
    <w:rsid w:val="00374064"/>
    <w:rsid w:val="00376838"/>
    <w:rsid w:val="00376D57"/>
    <w:rsid w:val="00376E9D"/>
    <w:rsid w:val="0037761D"/>
    <w:rsid w:val="00380894"/>
    <w:rsid w:val="003811C0"/>
    <w:rsid w:val="003819B1"/>
    <w:rsid w:val="003835AA"/>
    <w:rsid w:val="003858FD"/>
    <w:rsid w:val="00385A03"/>
    <w:rsid w:val="00385C2F"/>
    <w:rsid w:val="0038726A"/>
    <w:rsid w:val="003872C7"/>
    <w:rsid w:val="00387535"/>
    <w:rsid w:val="00393584"/>
    <w:rsid w:val="00395647"/>
    <w:rsid w:val="00395ADB"/>
    <w:rsid w:val="00395D21"/>
    <w:rsid w:val="003965AC"/>
    <w:rsid w:val="003971D6"/>
    <w:rsid w:val="003A1307"/>
    <w:rsid w:val="003A17C9"/>
    <w:rsid w:val="003A2994"/>
    <w:rsid w:val="003A32BE"/>
    <w:rsid w:val="003A3428"/>
    <w:rsid w:val="003A6005"/>
    <w:rsid w:val="003A75EE"/>
    <w:rsid w:val="003B0592"/>
    <w:rsid w:val="003B1B4B"/>
    <w:rsid w:val="003B21CD"/>
    <w:rsid w:val="003B25D6"/>
    <w:rsid w:val="003B40A9"/>
    <w:rsid w:val="003B42D7"/>
    <w:rsid w:val="003B49B5"/>
    <w:rsid w:val="003B53D5"/>
    <w:rsid w:val="003C0F9D"/>
    <w:rsid w:val="003C1917"/>
    <w:rsid w:val="003C3D5D"/>
    <w:rsid w:val="003C4DFF"/>
    <w:rsid w:val="003C5373"/>
    <w:rsid w:val="003C6358"/>
    <w:rsid w:val="003C69B7"/>
    <w:rsid w:val="003C6B21"/>
    <w:rsid w:val="003C7077"/>
    <w:rsid w:val="003D2216"/>
    <w:rsid w:val="003D33A3"/>
    <w:rsid w:val="003D56FA"/>
    <w:rsid w:val="003D69D1"/>
    <w:rsid w:val="003D73EE"/>
    <w:rsid w:val="003D7FE8"/>
    <w:rsid w:val="003E20DD"/>
    <w:rsid w:val="003E2AAD"/>
    <w:rsid w:val="003E34D4"/>
    <w:rsid w:val="003E4785"/>
    <w:rsid w:val="003E47D2"/>
    <w:rsid w:val="003E5023"/>
    <w:rsid w:val="003E553C"/>
    <w:rsid w:val="003E6CF7"/>
    <w:rsid w:val="003E7B93"/>
    <w:rsid w:val="003F0805"/>
    <w:rsid w:val="003F2B07"/>
    <w:rsid w:val="003F57A4"/>
    <w:rsid w:val="003F6C22"/>
    <w:rsid w:val="003F7A39"/>
    <w:rsid w:val="004001F5"/>
    <w:rsid w:val="0040156A"/>
    <w:rsid w:val="004031FC"/>
    <w:rsid w:val="00403293"/>
    <w:rsid w:val="0040337D"/>
    <w:rsid w:val="00404556"/>
    <w:rsid w:val="00406EBC"/>
    <w:rsid w:val="004121FC"/>
    <w:rsid w:val="0041224E"/>
    <w:rsid w:val="004134B5"/>
    <w:rsid w:val="00415C70"/>
    <w:rsid w:val="004170D4"/>
    <w:rsid w:val="00420A0A"/>
    <w:rsid w:val="0042105F"/>
    <w:rsid w:val="004212B3"/>
    <w:rsid w:val="00424840"/>
    <w:rsid w:val="00424AEB"/>
    <w:rsid w:val="0042500A"/>
    <w:rsid w:val="0042653E"/>
    <w:rsid w:val="00426E6F"/>
    <w:rsid w:val="0042718B"/>
    <w:rsid w:val="004300DE"/>
    <w:rsid w:val="0043183C"/>
    <w:rsid w:val="0043227E"/>
    <w:rsid w:val="00432538"/>
    <w:rsid w:val="00432A7F"/>
    <w:rsid w:val="00433C5C"/>
    <w:rsid w:val="00434DF5"/>
    <w:rsid w:val="00434F75"/>
    <w:rsid w:val="00436134"/>
    <w:rsid w:val="0043659B"/>
    <w:rsid w:val="0043738D"/>
    <w:rsid w:val="004377C4"/>
    <w:rsid w:val="00440634"/>
    <w:rsid w:val="004406FA"/>
    <w:rsid w:val="0044102D"/>
    <w:rsid w:val="00442437"/>
    <w:rsid w:val="00442B55"/>
    <w:rsid w:val="0044321E"/>
    <w:rsid w:val="0044445C"/>
    <w:rsid w:val="00445C4E"/>
    <w:rsid w:val="00447A84"/>
    <w:rsid w:val="0045060C"/>
    <w:rsid w:val="00450712"/>
    <w:rsid w:val="00450F4B"/>
    <w:rsid w:val="00451F2B"/>
    <w:rsid w:val="00452CB8"/>
    <w:rsid w:val="0045438D"/>
    <w:rsid w:val="0045528B"/>
    <w:rsid w:val="0045535F"/>
    <w:rsid w:val="00455F13"/>
    <w:rsid w:val="00456198"/>
    <w:rsid w:val="00456D68"/>
    <w:rsid w:val="00456D76"/>
    <w:rsid w:val="00456FD9"/>
    <w:rsid w:val="00457E93"/>
    <w:rsid w:val="004607EF"/>
    <w:rsid w:val="00460903"/>
    <w:rsid w:val="004630A0"/>
    <w:rsid w:val="00464465"/>
    <w:rsid w:val="00466234"/>
    <w:rsid w:val="004674BD"/>
    <w:rsid w:val="00471EDD"/>
    <w:rsid w:val="004722FD"/>
    <w:rsid w:val="00472668"/>
    <w:rsid w:val="00472909"/>
    <w:rsid w:val="00472B35"/>
    <w:rsid w:val="00474249"/>
    <w:rsid w:val="004744BB"/>
    <w:rsid w:val="00475F92"/>
    <w:rsid w:val="0047706C"/>
    <w:rsid w:val="00477959"/>
    <w:rsid w:val="00477FF3"/>
    <w:rsid w:val="00481D38"/>
    <w:rsid w:val="0048247F"/>
    <w:rsid w:val="00484E61"/>
    <w:rsid w:val="00484F5A"/>
    <w:rsid w:val="004850F4"/>
    <w:rsid w:val="00485F7C"/>
    <w:rsid w:val="0048643A"/>
    <w:rsid w:val="00490415"/>
    <w:rsid w:val="0049113F"/>
    <w:rsid w:val="00491494"/>
    <w:rsid w:val="00491C58"/>
    <w:rsid w:val="004939B6"/>
    <w:rsid w:val="004947BE"/>
    <w:rsid w:val="0049576A"/>
    <w:rsid w:val="00497495"/>
    <w:rsid w:val="004A0833"/>
    <w:rsid w:val="004A0F04"/>
    <w:rsid w:val="004A2AB5"/>
    <w:rsid w:val="004A3641"/>
    <w:rsid w:val="004A45C1"/>
    <w:rsid w:val="004A4A12"/>
    <w:rsid w:val="004A6110"/>
    <w:rsid w:val="004B046E"/>
    <w:rsid w:val="004B0548"/>
    <w:rsid w:val="004B21C1"/>
    <w:rsid w:val="004B2234"/>
    <w:rsid w:val="004B2465"/>
    <w:rsid w:val="004B5318"/>
    <w:rsid w:val="004B5620"/>
    <w:rsid w:val="004B5FF0"/>
    <w:rsid w:val="004B6119"/>
    <w:rsid w:val="004B71FF"/>
    <w:rsid w:val="004B72A9"/>
    <w:rsid w:val="004B7333"/>
    <w:rsid w:val="004B73F0"/>
    <w:rsid w:val="004B7D1E"/>
    <w:rsid w:val="004C01E4"/>
    <w:rsid w:val="004C0A26"/>
    <w:rsid w:val="004C3004"/>
    <w:rsid w:val="004C4A8A"/>
    <w:rsid w:val="004C695B"/>
    <w:rsid w:val="004C6BA0"/>
    <w:rsid w:val="004C7B4F"/>
    <w:rsid w:val="004D0FA0"/>
    <w:rsid w:val="004D217D"/>
    <w:rsid w:val="004D2FCA"/>
    <w:rsid w:val="004D32DD"/>
    <w:rsid w:val="004D3BC3"/>
    <w:rsid w:val="004D447E"/>
    <w:rsid w:val="004D459A"/>
    <w:rsid w:val="004D4A64"/>
    <w:rsid w:val="004D648F"/>
    <w:rsid w:val="004D6D41"/>
    <w:rsid w:val="004D7B94"/>
    <w:rsid w:val="004E3C97"/>
    <w:rsid w:val="004E3D1E"/>
    <w:rsid w:val="004E4009"/>
    <w:rsid w:val="004E67E0"/>
    <w:rsid w:val="004F1136"/>
    <w:rsid w:val="004F1CE8"/>
    <w:rsid w:val="004F57C3"/>
    <w:rsid w:val="004F5D53"/>
    <w:rsid w:val="004F624F"/>
    <w:rsid w:val="0050064F"/>
    <w:rsid w:val="00503111"/>
    <w:rsid w:val="005035B8"/>
    <w:rsid w:val="005042E6"/>
    <w:rsid w:val="0050447B"/>
    <w:rsid w:val="005066B1"/>
    <w:rsid w:val="00506F28"/>
    <w:rsid w:val="00507861"/>
    <w:rsid w:val="005109F9"/>
    <w:rsid w:val="00511AEE"/>
    <w:rsid w:val="00511C2A"/>
    <w:rsid w:val="005124D2"/>
    <w:rsid w:val="0051433E"/>
    <w:rsid w:val="005149CB"/>
    <w:rsid w:val="00520431"/>
    <w:rsid w:val="005222ED"/>
    <w:rsid w:val="0052232D"/>
    <w:rsid w:val="00523249"/>
    <w:rsid w:val="00523373"/>
    <w:rsid w:val="0052434E"/>
    <w:rsid w:val="00526210"/>
    <w:rsid w:val="00526C71"/>
    <w:rsid w:val="005270A2"/>
    <w:rsid w:val="00531CB4"/>
    <w:rsid w:val="00531EBE"/>
    <w:rsid w:val="0053450C"/>
    <w:rsid w:val="00534863"/>
    <w:rsid w:val="00534CAF"/>
    <w:rsid w:val="0053601B"/>
    <w:rsid w:val="005362EA"/>
    <w:rsid w:val="00536C2A"/>
    <w:rsid w:val="005414E4"/>
    <w:rsid w:val="00541AEE"/>
    <w:rsid w:val="00543AFD"/>
    <w:rsid w:val="00544FF6"/>
    <w:rsid w:val="00547D3D"/>
    <w:rsid w:val="00550865"/>
    <w:rsid w:val="005541CD"/>
    <w:rsid w:val="00557208"/>
    <w:rsid w:val="0055741E"/>
    <w:rsid w:val="0056383E"/>
    <w:rsid w:val="005649C8"/>
    <w:rsid w:val="00564E8B"/>
    <w:rsid w:val="00565113"/>
    <w:rsid w:val="00565B4F"/>
    <w:rsid w:val="00565B72"/>
    <w:rsid w:val="005663E9"/>
    <w:rsid w:val="0057063D"/>
    <w:rsid w:val="00571D9C"/>
    <w:rsid w:val="00573387"/>
    <w:rsid w:val="00574E6C"/>
    <w:rsid w:val="00576730"/>
    <w:rsid w:val="005776A2"/>
    <w:rsid w:val="005801CF"/>
    <w:rsid w:val="005806C8"/>
    <w:rsid w:val="0058087F"/>
    <w:rsid w:val="00580D37"/>
    <w:rsid w:val="0058116B"/>
    <w:rsid w:val="005836D4"/>
    <w:rsid w:val="00585C2B"/>
    <w:rsid w:val="0058718D"/>
    <w:rsid w:val="00591F60"/>
    <w:rsid w:val="005924C4"/>
    <w:rsid w:val="005928E3"/>
    <w:rsid w:val="00593237"/>
    <w:rsid w:val="005956D2"/>
    <w:rsid w:val="00595AAF"/>
    <w:rsid w:val="005A00F7"/>
    <w:rsid w:val="005A0A78"/>
    <w:rsid w:val="005A24B5"/>
    <w:rsid w:val="005A28A2"/>
    <w:rsid w:val="005A2E2E"/>
    <w:rsid w:val="005A4127"/>
    <w:rsid w:val="005A4527"/>
    <w:rsid w:val="005A5658"/>
    <w:rsid w:val="005A58FF"/>
    <w:rsid w:val="005A719D"/>
    <w:rsid w:val="005A74F2"/>
    <w:rsid w:val="005A79ED"/>
    <w:rsid w:val="005A7DE3"/>
    <w:rsid w:val="005A7E58"/>
    <w:rsid w:val="005A7F69"/>
    <w:rsid w:val="005B0018"/>
    <w:rsid w:val="005B0798"/>
    <w:rsid w:val="005B0E47"/>
    <w:rsid w:val="005B117B"/>
    <w:rsid w:val="005B2B29"/>
    <w:rsid w:val="005B2CA6"/>
    <w:rsid w:val="005B33E5"/>
    <w:rsid w:val="005B3747"/>
    <w:rsid w:val="005B4190"/>
    <w:rsid w:val="005B43FD"/>
    <w:rsid w:val="005B46BD"/>
    <w:rsid w:val="005B5974"/>
    <w:rsid w:val="005B7561"/>
    <w:rsid w:val="005C0148"/>
    <w:rsid w:val="005C3209"/>
    <w:rsid w:val="005C406E"/>
    <w:rsid w:val="005C43EC"/>
    <w:rsid w:val="005C5167"/>
    <w:rsid w:val="005C68BC"/>
    <w:rsid w:val="005C708A"/>
    <w:rsid w:val="005D61C1"/>
    <w:rsid w:val="005D7932"/>
    <w:rsid w:val="005E1F7F"/>
    <w:rsid w:val="005E2EE5"/>
    <w:rsid w:val="005E30CA"/>
    <w:rsid w:val="005E5CBB"/>
    <w:rsid w:val="005E6381"/>
    <w:rsid w:val="005E7DAA"/>
    <w:rsid w:val="005F1848"/>
    <w:rsid w:val="005F1CD8"/>
    <w:rsid w:val="005F27B0"/>
    <w:rsid w:val="005F3E4E"/>
    <w:rsid w:val="005F43F1"/>
    <w:rsid w:val="005F58D0"/>
    <w:rsid w:val="005F6605"/>
    <w:rsid w:val="005F6889"/>
    <w:rsid w:val="00600D6F"/>
    <w:rsid w:val="00601D48"/>
    <w:rsid w:val="00602C26"/>
    <w:rsid w:val="00602F40"/>
    <w:rsid w:val="006031AE"/>
    <w:rsid w:val="00603F32"/>
    <w:rsid w:val="00604065"/>
    <w:rsid w:val="0060522C"/>
    <w:rsid w:val="006065C8"/>
    <w:rsid w:val="00606915"/>
    <w:rsid w:val="00613F0B"/>
    <w:rsid w:val="006179BC"/>
    <w:rsid w:val="00620120"/>
    <w:rsid w:val="00621CDA"/>
    <w:rsid w:val="00623630"/>
    <w:rsid w:val="0062518E"/>
    <w:rsid w:val="006254FC"/>
    <w:rsid w:val="00625C4C"/>
    <w:rsid w:val="00632279"/>
    <w:rsid w:val="00632616"/>
    <w:rsid w:val="00632EE4"/>
    <w:rsid w:val="00633152"/>
    <w:rsid w:val="0063402D"/>
    <w:rsid w:val="006345EB"/>
    <w:rsid w:val="006353AA"/>
    <w:rsid w:val="006353CB"/>
    <w:rsid w:val="00635842"/>
    <w:rsid w:val="006359D4"/>
    <w:rsid w:val="00635FB0"/>
    <w:rsid w:val="00637491"/>
    <w:rsid w:val="006378F4"/>
    <w:rsid w:val="0064025A"/>
    <w:rsid w:val="00640893"/>
    <w:rsid w:val="00641A46"/>
    <w:rsid w:val="0064476B"/>
    <w:rsid w:val="00644E41"/>
    <w:rsid w:val="006453EF"/>
    <w:rsid w:val="00646B20"/>
    <w:rsid w:val="00647966"/>
    <w:rsid w:val="00647D75"/>
    <w:rsid w:val="00654501"/>
    <w:rsid w:val="00654695"/>
    <w:rsid w:val="00654F5F"/>
    <w:rsid w:val="00656CE9"/>
    <w:rsid w:val="006602AE"/>
    <w:rsid w:val="00662278"/>
    <w:rsid w:val="006633E3"/>
    <w:rsid w:val="006637C0"/>
    <w:rsid w:val="00664334"/>
    <w:rsid w:val="00664DFB"/>
    <w:rsid w:val="0066660E"/>
    <w:rsid w:val="00666FCB"/>
    <w:rsid w:val="006674C9"/>
    <w:rsid w:val="00667800"/>
    <w:rsid w:val="006709B8"/>
    <w:rsid w:val="00671214"/>
    <w:rsid w:val="0067166A"/>
    <w:rsid w:val="00671F5A"/>
    <w:rsid w:val="00672679"/>
    <w:rsid w:val="0067322F"/>
    <w:rsid w:val="0068196B"/>
    <w:rsid w:val="00682CDF"/>
    <w:rsid w:val="00683616"/>
    <w:rsid w:val="00683F3F"/>
    <w:rsid w:val="00684D13"/>
    <w:rsid w:val="00685B1E"/>
    <w:rsid w:val="00686832"/>
    <w:rsid w:val="00686874"/>
    <w:rsid w:val="00686F50"/>
    <w:rsid w:val="00687621"/>
    <w:rsid w:val="0069128E"/>
    <w:rsid w:val="00692E54"/>
    <w:rsid w:val="00693429"/>
    <w:rsid w:val="00695786"/>
    <w:rsid w:val="00697A6A"/>
    <w:rsid w:val="00697E43"/>
    <w:rsid w:val="006A00FB"/>
    <w:rsid w:val="006A07CB"/>
    <w:rsid w:val="006A33E5"/>
    <w:rsid w:val="006A3577"/>
    <w:rsid w:val="006A548E"/>
    <w:rsid w:val="006A6355"/>
    <w:rsid w:val="006A6693"/>
    <w:rsid w:val="006A74D2"/>
    <w:rsid w:val="006A7A16"/>
    <w:rsid w:val="006A7B25"/>
    <w:rsid w:val="006B06A2"/>
    <w:rsid w:val="006B0ED2"/>
    <w:rsid w:val="006B0F3D"/>
    <w:rsid w:val="006B1F25"/>
    <w:rsid w:val="006B308D"/>
    <w:rsid w:val="006B5534"/>
    <w:rsid w:val="006B5666"/>
    <w:rsid w:val="006B5976"/>
    <w:rsid w:val="006B6CB7"/>
    <w:rsid w:val="006B721F"/>
    <w:rsid w:val="006C0404"/>
    <w:rsid w:val="006C200D"/>
    <w:rsid w:val="006C29B1"/>
    <w:rsid w:val="006C2DAD"/>
    <w:rsid w:val="006C3682"/>
    <w:rsid w:val="006C4B0D"/>
    <w:rsid w:val="006C6A86"/>
    <w:rsid w:val="006C7463"/>
    <w:rsid w:val="006D0DE6"/>
    <w:rsid w:val="006D15E8"/>
    <w:rsid w:val="006D2982"/>
    <w:rsid w:val="006D326E"/>
    <w:rsid w:val="006D377E"/>
    <w:rsid w:val="006D4F7A"/>
    <w:rsid w:val="006D5119"/>
    <w:rsid w:val="006E18BD"/>
    <w:rsid w:val="006E1BC0"/>
    <w:rsid w:val="006E23C9"/>
    <w:rsid w:val="006E4E48"/>
    <w:rsid w:val="006F0487"/>
    <w:rsid w:val="006F1B11"/>
    <w:rsid w:val="006F1D0B"/>
    <w:rsid w:val="006F297E"/>
    <w:rsid w:val="006F3434"/>
    <w:rsid w:val="006F36B8"/>
    <w:rsid w:val="006F4F50"/>
    <w:rsid w:val="006F6E03"/>
    <w:rsid w:val="006F75E6"/>
    <w:rsid w:val="007002BC"/>
    <w:rsid w:val="0070032D"/>
    <w:rsid w:val="0070041C"/>
    <w:rsid w:val="00703B84"/>
    <w:rsid w:val="00703CBC"/>
    <w:rsid w:val="007061D3"/>
    <w:rsid w:val="0070629D"/>
    <w:rsid w:val="00706E09"/>
    <w:rsid w:val="007078D0"/>
    <w:rsid w:val="00707ABC"/>
    <w:rsid w:val="00710008"/>
    <w:rsid w:val="0071095B"/>
    <w:rsid w:val="00710F87"/>
    <w:rsid w:val="00711173"/>
    <w:rsid w:val="00712CFD"/>
    <w:rsid w:val="00714675"/>
    <w:rsid w:val="0071505A"/>
    <w:rsid w:val="00715267"/>
    <w:rsid w:val="00716028"/>
    <w:rsid w:val="0071606F"/>
    <w:rsid w:val="007165EF"/>
    <w:rsid w:val="00716D1E"/>
    <w:rsid w:val="00717075"/>
    <w:rsid w:val="007178B5"/>
    <w:rsid w:val="00717C12"/>
    <w:rsid w:val="007212E9"/>
    <w:rsid w:val="007213E4"/>
    <w:rsid w:val="0072200C"/>
    <w:rsid w:val="00723DD6"/>
    <w:rsid w:val="00725140"/>
    <w:rsid w:val="00726466"/>
    <w:rsid w:val="007264B0"/>
    <w:rsid w:val="00731589"/>
    <w:rsid w:val="007319A7"/>
    <w:rsid w:val="007324F0"/>
    <w:rsid w:val="00732F9C"/>
    <w:rsid w:val="0073373C"/>
    <w:rsid w:val="00733931"/>
    <w:rsid w:val="007354D6"/>
    <w:rsid w:val="0074126E"/>
    <w:rsid w:val="007414B1"/>
    <w:rsid w:val="00741E98"/>
    <w:rsid w:val="00742256"/>
    <w:rsid w:val="00742602"/>
    <w:rsid w:val="007427D4"/>
    <w:rsid w:val="00742C0D"/>
    <w:rsid w:val="0074381B"/>
    <w:rsid w:val="007452CA"/>
    <w:rsid w:val="007453E8"/>
    <w:rsid w:val="007455A5"/>
    <w:rsid w:val="00745B06"/>
    <w:rsid w:val="007470B5"/>
    <w:rsid w:val="0074721F"/>
    <w:rsid w:val="007518DD"/>
    <w:rsid w:val="00752DBE"/>
    <w:rsid w:val="007534CD"/>
    <w:rsid w:val="0075375C"/>
    <w:rsid w:val="007545AE"/>
    <w:rsid w:val="00754A7E"/>
    <w:rsid w:val="00756A88"/>
    <w:rsid w:val="007600D3"/>
    <w:rsid w:val="007601A3"/>
    <w:rsid w:val="00760B62"/>
    <w:rsid w:val="0076191C"/>
    <w:rsid w:val="00761B21"/>
    <w:rsid w:val="007635E2"/>
    <w:rsid w:val="00763A40"/>
    <w:rsid w:val="007647E4"/>
    <w:rsid w:val="00766E49"/>
    <w:rsid w:val="00767785"/>
    <w:rsid w:val="00767C9B"/>
    <w:rsid w:val="00767E1D"/>
    <w:rsid w:val="007702E9"/>
    <w:rsid w:val="007711DC"/>
    <w:rsid w:val="0077151F"/>
    <w:rsid w:val="00771650"/>
    <w:rsid w:val="00772CC3"/>
    <w:rsid w:val="007734B0"/>
    <w:rsid w:val="00774067"/>
    <w:rsid w:val="007753EF"/>
    <w:rsid w:val="007802B8"/>
    <w:rsid w:val="00780863"/>
    <w:rsid w:val="00780C61"/>
    <w:rsid w:val="00780F15"/>
    <w:rsid w:val="00781974"/>
    <w:rsid w:val="00781DCB"/>
    <w:rsid w:val="00782269"/>
    <w:rsid w:val="00782631"/>
    <w:rsid w:val="00782D8F"/>
    <w:rsid w:val="0078370B"/>
    <w:rsid w:val="00784FD8"/>
    <w:rsid w:val="00785284"/>
    <w:rsid w:val="00785474"/>
    <w:rsid w:val="0078680C"/>
    <w:rsid w:val="00786C47"/>
    <w:rsid w:val="00787DDC"/>
    <w:rsid w:val="007904E0"/>
    <w:rsid w:val="00790CEB"/>
    <w:rsid w:val="00792122"/>
    <w:rsid w:val="007932ED"/>
    <w:rsid w:val="0079457F"/>
    <w:rsid w:val="00794BAE"/>
    <w:rsid w:val="00796C3B"/>
    <w:rsid w:val="0079720D"/>
    <w:rsid w:val="007A1815"/>
    <w:rsid w:val="007A1E0D"/>
    <w:rsid w:val="007A5B0A"/>
    <w:rsid w:val="007A6FBC"/>
    <w:rsid w:val="007A7C6C"/>
    <w:rsid w:val="007A7F02"/>
    <w:rsid w:val="007B07E9"/>
    <w:rsid w:val="007B16DD"/>
    <w:rsid w:val="007B1F5F"/>
    <w:rsid w:val="007B5CFA"/>
    <w:rsid w:val="007B76FB"/>
    <w:rsid w:val="007C1F2C"/>
    <w:rsid w:val="007C4341"/>
    <w:rsid w:val="007C5436"/>
    <w:rsid w:val="007C775C"/>
    <w:rsid w:val="007C7B1F"/>
    <w:rsid w:val="007D07B4"/>
    <w:rsid w:val="007D1695"/>
    <w:rsid w:val="007D22AE"/>
    <w:rsid w:val="007D2900"/>
    <w:rsid w:val="007D2F66"/>
    <w:rsid w:val="007D41DC"/>
    <w:rsid w:val="007D488B"/>
    <w:rsid w:val="007D519F"/>
    <w:rsid w:val="007D5D81"/>
    <w:rsid w:val="007D6246"/>
    <w:rsid w:val="007D6D6C"/>
    <w:rsid w:val="007E0D3C"/>
    <w:rsid w:val="007E13F0"/>
    <w:rsid w:val="007E160E"/>
    <w:rsid w:val="007E1AC9"/>
    <w:rsid w:val="007E2191"/>
    <w:rsid w:val="007E420E"/>
    <w:rsid w:val="007E516D"/>
    <w:rsid w:val="007E6C0F"/>
    <w:rsid w:val="007E7635"/>
    <w:rsid w:val="007E7E5F"/>
    <w:rsid w:val="007F3207"/>
    <w:rsid w:val="007F36F1"/>
    <w:rsid w:val="007F41E0"/>
    <w:rsid w:val="007F47D5"/>
    <w:rsid w:val="007F5E4B"/>
    <w:rsid w:val="007F6539"/>
    <w:rsid w:val="007F762B"/>
    <w:rsid w:val="00801282"/>
    <w:rsid w:val="008016E1"/>
    <w:rsid w:val="00803EB4"/>
    <w:rsid w:val="00804487"/>
    <w:rsid w:val="00805360"/>
    <w:rsid w:val="00807F02"/>
    <w:rsid w:val="00813C86"/>
    <w:rsid w:val="00814E7E"/>
    <w:rsid w:val="00815E4B"/>
    <w:rsid w:val="008163D1"/>
    <w:rsid w:val="00816BA8"/>
    <w:rsid w:val="00820106"/>
    <w:rsid w:val="00820C8F"/>
    <w:rsid w:val="00821EE7"/>
    <w:rsid w:val="00823F3B"/>
    <w:rsid w:val="008253A0"/>
    <w:rsid w:val="00826647"/>
    <w:rsid w:val="008304AC"/>
    <w:rsid w:val="008307E9"/>
    <w:rsid w:val="008317F4"/>
    <w:rsid w:val="008321B1"/>
    <w:rsid w:val="00832261"/>
    <w:rsid w:val="0083261C"/>
    <w:rsid w:val="00832681"/>
    <w:rsid w:val="00832DE5"/>
    <w:rsid w:val="0083432D"/>
    <w:rsid w:val="00834FF8"/>
    <w:rsid w:val="00836890"/>
    <w:rsid w:val="0083703E"/>
    <w:rsid w:val="0083706F"/>
    <w:rsid w:val="0083716D"/>
    <w:rsid w:val="00840E6D"/>
    <w:rsid w:val="00841DD8"/>
    <w:rsid w:val="0084378D"/>
    <w:rsid w:val="0084538E"/>
    <w:rsid w:val="008454D4"/>
    <w:rsid w:val="008458C4"/>
    <w:rsid w:val="008463CC"/>
    <w:rsid w:val="00846676"/>
    <w:rsid w:val="00846D1F"/>
    <w:rsid w:val="00846FF0"/>
    <w:rsid w:val="00847954"/>
    <w:rsid w:val="008517ED"/>
    <w:rsid w:val="008520A2"/>
    <w:rsid w:val="0085226B"/>
    <w:rsid w:val="0085235F"/>
    <w:rsid w:val="008527C2"/>
    <w:rsid w:val="008538A4"/>
    <w:rsid w:val="00854226"/>
    <w:rsid w:val="0085423C"/>
    <w:rsid w:val="00854440"/>
    <w:rsid w:val="008557F6"/>
    <w:rsid w:val="0085777B"/>
    <w:rsid w:val="00862154"/>
    <w:rsid w:val="00866690"/>
    <w:rsid w:val="008669C7"/>
    <w:rsid w:val="00866FE3"/>
    <w:rsid w:val="00867A0F"/>
    <w:rsid w:val="0087066C"/>
    <w:rsid w:val="00870A45"/>
    <w:rsid w:val="00877D49"/>
    <w:rsid w:val="00877F77"/>
    <w:rsid w:val="0088121B"/>
    <w:rsid w:val="0088307F"/>
    <w:rsid w:val="008832C6"/>
    <w:rsid w:val="0088371D"/>
    <w:rsid w:val="00886A5F"/>
    <w:rsid w:val="00890D93"/>
    <w:rsid w:val="008935BD"/>
    <w:rsid w:val="00895F98"/>
    <w:rsid w:val="008962CE"/>
    <w:rsid w:val="00897061"/>
    <w:rsid w:val="00897D7F"/>
    <w:rsid w:val="008A0568"/>
    <w:rsid w:val="008A184C"/>
    <w:rsid w:val="008A1AFD"/>
    <w:rsid w:val="008A391E"/>
    <w:rsid w:val="008A41A1"/>
    <w:rsid w:val="008A4265"/>
    <w:rsid w:val="008A486B"/>
    <w:rsid w:val="008A5B89"/>
    <w:rsid w:val="008A64E2"/>
    <w:rsid w:val="008A748A"/>
    <w:rsid w:val="008B0B40"/>
    <w:rsid w:val="008B0C82"/>
    <w:rsid w:val="008B1349"/>
    <w:rsid w:val="008B16B7"/>
    <w:rsid w:val="008B16E8"/>
    <w:rsid w:val="008B191E"/>
    <w:rsid w:val="008B3316"/>
    <w:rsid w:val="008B3700"/>
    <w:rsid w:val="008B3CFD"/>
    <w:rsid w:val="008B3DD1"/>
    <w:rsid w:val="008B3EEA"/>
    <w:rsid w:val="008B564D"/>
    <w:rsid w:val="008B5DD1"/>
    <w:rsid w:val="008B6C84"/>
    <w:rsid w:val="008B7064"/>
    <w:rsid w:val="008B7273"/>
    <w:rsid w:val="008C044A"/>
    <w:rsid w:val="008C0B4B"/>
    <w:rsid w:val="008C2AE3"/>
    <w:rsid w:val="008C2B7C"/>
    <w:rsid w:val="008C3627"/>
    <w:rsid w:val="008C42EE"/>
    <w:rsid w:val="008C4D15"/>
    <w:rsid w:val="008C63DE"/>
    <w:rsid w:val="008C66C4"/>
    <w:rsid w:val="008C71A3"/>
    <w:rsid w:val="008C779C"/>
    <w:rsid w:val="008D1B9C"/>
    <w:rsid w:val="008D2468"/>
    <w:rsid w:val="008D3D50"/>
    <w:rsid w:val="008D47DB"/>
    <w:rsid w:val="008D4AC8"/>
    <w:rsid w:val="008D59EE"/>
    <w:rsid w:val="008D5AC6"/>
    <w:rsid w:val="008D5B76"/>
    <w:rsid w:val="008D6759"/>
    <w:rsid w:val="008D67DF"/>
    <w:rsid w:val="008D71B0"/>
    <w:rsid w:val="008E00BE"/>
    <w:rsid w:val="008E034C"/>
    <w:rsid w:val="008E1CFA"/>
    <w:rsid w:val="008E2705"/>
    <w:rsid w:val="008E2D22"/>
    <w:rsid w:val="008E2E49"/>
    <w:rsid w:val="008E54E4"/>
    <w:rsid w:val="008F0CAE"/>
    <w:rsid w:val="008F2367"/>
    <w:rsid w:val="008F2AB3"/>
    <w:rsid w:val="008F30A1"/>
    <w:rsid w:val="008F3481"/>
    <w:rsid w:val="008F4192"/>
    <w:rsid w:val="008F4296"/>
    <w:rsid w:val="008F4423"/>
    <w:rsid w:val="008F47F7"/>
    <w:rsid w:val="008F5A59"/>
    <w:rsid w:val="008F609D"/>
    <w:rsid w:val="008F70D0"/>
    <w:rsid w:val="008F72FC"/>
    <w:rsid w:val="008F7536"/>
    <w:rsid w:val="008F7D18"/>
    <w:rsid w:val="00900B23"/>
    <w:rsid w:val="00900FF2"/>
    <w:rsid w:val="009015EB"/>
    <w:rsid w:val="00901680"/>
    <w:rsid w:val="009020FF"/>
    <w:rsid w:val="0090484A"/>
    <w:rsid w:val="00906973"/>
    <w:rsid w:val="00910C2B"/>
    <w:rsid w:val="00910FF7"/>
    <w:rsid w:val="00911751"/>
    <w:rsid w:val="0091264F"/>
    <w:rsid w:val="009131C3"/>
    <w:rsid w:val="00913E74"/>
    <w:rsid w:val="0091482E"/>
    <w:rsid w:val="00916113"/>
    <w:rsid w:val="00916EFE"/>
    <w:rsid w:val="00920357"/>
    <w:rsid w:val="0092176D"/>
    <w:rsid w:val="009234B1"/>
    <w:rsid w:val="009246C0"/>
    <w:rsid w:val="00924CF7"/>
    <w:rsid w:val="00925366"/>
    <w:rsid w:val="00925654"/>
    <w:rsid w:val="0092643C"/>
    <w:rsid w:val="00930D47"/>
    <w:rsid w:val="00930D55"/>
    <w:rsid w:val="009313A5"/>
    <w:rsid w:val="009317E9"/>
    <w:rsid w:val="00931AAE"/>
    <w:rsid w:val="00931C2E"/>
    <w:rsid w:val="00932627"/>
    <w:rsid w:val="0093265B"/>
    <w:rsid w:val="00932BB1"/>
    <w:rsid w:val="00933A0C"/>
    <w:rsid w:val="00933F54"/>
    <w:rsid w:val="00934492"/>
    <w:rsid w:val="009345A7"/>
    <w:rsid w:val="00934940"/>
    <w:rsid w:val="00935AB7"/>
    <w:rsid w:val="0093602F"/>
    <w:rsid w:val="0093671A"/>
    <w:rsid w:val="00937D17"/>
    <w:rsid w:val="0094325B"/>
    <w:rsid w:val="00944584"/>
    <w:rsid w:val="009445BA"/>
    <w:rsid w:val="0094581F"/>
    <w:rsid w:val="00945E25"/>
    <w:rsid w:val="00946365"/>
    <w:rsid w:val="0094785F"/>
    <w:rsid w:val="009501E1"/>
    <w:rsid w:val="00951673"/>
    <w:rsid w:val="00952316"/>
    <w:rsid w:val="009528AA"/>
    <w:rsid w:val="00952CCE"/>
    <w:rsid w:val="00953DB8"/>
    <w:rsid w:val="009544BF"/>
    <w:rsid w:val="0095547E"/>
    <w:rsid w:val="00956A62"/>
    <w:rsid w:val="00956AF3"/>
    <w:rsid w:val="0095716C"/>
    <w:rsid w:val="009571C9"/>
    <w:rsid w:val="00957280"/>
    <w:rsid w:val="009579C7"/>
    <w:rsid w:val="009627F2"/>
    <w:rsid w:val="00962ABE"/>
    <w:rsid w:val="00964EF5"/>
    <w:rsid w:val="009650B5"/>
    <w:rsid w:val="0096534B"/>
    <w:rsid w:val="00966EC8"/>
    <w:rsid w:val="0096761E"/>
    <w:rsid w:val="00971178"/>
    <w:rsid w:val="00971DE0"/>
    <w:rsid w:val="00972184"/>
    <w:rsid w:val="00972F27"/>
    <w:rsid w:val="0097531F"/>
    <w:rsid w:val="00975DF6"/>
    <w:rsid w:val="00976E2B"/>
    <w:rsid w:val="00980ED6"/>
    <w:rsid w:val="0098110F"/>
    <w:rsid w:val="00981C65"/>
    <w:rsid w:val="00983540"/>
    <w:rsid w:val="00983F89"/>
    <w:rsid w:val="0098477D"/>
    <w:rsid w:val="00984A3A"/>
    <w:rsid w:val="00984FF2"/>
    <w:rsid w:val="009859D7"/>
    <w:rsid w:val="00986084"/>
    <w:rsid w:val="009872BB"/>
    <w:rsid w:val="00987CDA"/>
    <w:rsid w:val="009900B2"/>
    <w:rsid w:val="00990B98"/>
    <w:rsid w:val="00991E82"/>
    <w:rsid w:val="009927DC"/>
    <w:rsid w:val="00992820"/>
    <w:rsid w:val="00994992"/>
    <w:rsid w:val="00994C65"/>
    <w:rsid w:val="00994C96"/>
    <w:rsid w:val="00994CDC"/>
    <w:rsid w:val="0099573E"/>
    <w:rsid w:val="00995970"/>
    <w:rsid w:val="0099626C"/>
    <w:rsid w:val="009A0AE1"/>
    <w:rsid w:val="009A1DF1"/>
    <w:rsid w:val="009A26B4"/>
    <w:rsid w:val="009A3259"/>
    <w:rsid w:val="009A3FBA"/>
    <w:rsid w:val="009A4EEF"/>
    <w:rsid w:val="009A6772"/>
    <w:rsid w:val="009A73F8"/>
    <w:rsid w:val="009A7D0C"/>
    <w:rsid w:val="009A7EDD"/>
    <w:rsid w:val="009B0AA0"/>
    <w:rsid w:val="009B161E"/>
    <w:rsid w:val="009B1919"/>
    <w:rsid w:val="009B1DAA"/>
    <w:rsid w:val="009B200A"/>
    <w:rsid w:val="009B23C6"/>
    <w:rsid w:val="009B37F7"/>
    <w:rsid w:val="009B3853"/>
    <w:rsid w:val="009B39BF"/>
    <w:rsid w:val="009B3E88"/>
    <w:rsid w:val="009B488F"/>
    <w:rsid w:val="009B5D53"/>
    <w:rsid w:val="009B64FB"/>
    <w:rsid w:val="009B734B"/>
    <w:rsid w:val="009C0DF0"/>
    <w:rsid w:val="009C144B"/>
    <w:rsid w:val="009C2C3A"/>
    <w:rsid w:val="009C5229"/>
    <w:rsid w:val="009C5318"/>
    <w:rsid w:val="009C555A"/>
    <w:rsid w:val="009C6842"/>
    <w:rsid w:val="009C75AE"/>
    <w:rsid w:val="009C77D4"/>
    <w:rsid w:val="009C78CA"/>
    <w:rsid w:val="009D02AF"/>
    <w:rsid w:val="009D09B1"/>
    <w:rsid w:val="009D4FD9"/>
    <w:rsid w:val="009D622F"/>
    <w:rsid w:val="009D7B27"/>
    <w:rsid w:val="009E1FB5"/>
    <w:rsid w:val="009E210E"/>
    <w:rsid w:val="009E3524"/>
    <w:rsid w:val="009E357E"/>
    <w:rsid w:val="009F10AC"/>
    <w:rsid w:val="009F19FC"/>
    <w:rsid w:val="009F21AB"/>
    <w:rsid w:val="009F281C"/>
    <w:rsid w:val="009F3896"/>
    <w:rsid w:val="009F4827"/>
    <w:rsid w:val="009F4835"/>
    <w:rsid w:val="009F4A6C"/>
    <w:rsid w:val="009F5D31"/>
    <w:rsid w:val="009F74E8"/>
    <w:rsid w:val="00A00B7C"/>
    <w:rsid w:val="00A01CDD"/>
    <w:rsid w:val="00A023C2"/>
    <w:rsid w:val="00A0514F"/>
    <w:rsid w:val="00A059E7"/>
    <w:rsid w:val="00A05AAC"/>
    <w:rsid w:val="00A06372"/>
    <w:rsid w:val="00A10060"/>
    <w:rsid w:val="00A1118F"/>
    <w:rsid w:val="00A11656"/>
    <w:rsid w:val="00A12331"/>
    <w:rsid w:val="00A142A5"/>
    <w:rsid w:val="00A14E67"/>
    <w:rsid w:val="00A15212"/>
    <w:rsid w:val="00A2116B"/>
    <w:rsid w:val="00A24527"/>
    <w:rsid w:val="00A2518F"/>
    <w:rsid w:val="00A25266"/>
    <w:rsid w:val="00A25279"/>
    <w:rsid w:val="00A26941"/>
    <w:rsid w:val="00A26CC0"/>
    <w:rsid w:val="00A26FE6"/>
    <w:rsid w:val="00A27793"/>
    <w:rsid w:val="00A27B78"/>
    <w:rsid w:val="00A27F97"/>
    <w:rsid w:val="00A30EB3"/>
    <w:rsid w:val="00A32F9E"/>
    <w:rsid w:val="00A33A69"/>
    <w:rsid w:val="00A346E4"/>
    <w:rsid w:val="00A3525D"/>
    <w:rsid w:val="00A35B30"/>
    <w:rsid w:val="00A3623E"/>
    <w:rsid w:val="00A4082C"/>
    <w:rsid w:val="00A41633"/>
    <w:rsid w:val="00A41A83"/>
    <w:rsid w:val="00A41E1E"/>
    <w:rsid w:val="00A479C7"/>
    <w:rsid w:val="00A5299A"/>
    <w:rsid w:val="00A5355A"/>
    <w:rsid w:val="00A54543"/>
    <w:rsid w:val="00A547B1"/>
    <w:rsid w:val="00A550CC"/>
    <w:rsid w:val="00A5535A"/>
    <w:rsid w:val="00A57A29"/>
    <w:rsid w:val="00A62D16"/>
    <w:rsid w:val="00A62DAE"/>
    <w:rsid w:val="00A6317D"/>
    <w:rsid w:val="00A649DE"/>
    <w:rsid w:val="00A650A3"/>
    <w:rsid w:val="00A656A4"/>
    <w:rsid w:val="00A66FAB"/>
    <w:rsid w:val="00A702A5"/>
    <w:rsid w:val="00A70C3E"/>
    <w:rsid w:val="00A70E82"/>
    <w:rsid w:val="00A723B9"/>
    <w:rsid w:val="00A7297E"/>
    <w:rsid w:val="00A74E63"/>
    <w:rsid w:val="00A75085"/>
    <w:rsid w:val="00A761FE"/>
    <w:rsid w:val="00A764AA"/>
    <w:rsid w:val="00A76964"/>
    <w:rsid w:val="00A77E99"/>
    <w:rsid w:val="00A80261"/>
    <w:rsid w:val="00A810F1"/>
    <w:rsid w:val="00A81E12"/>
    <w:rsid w:val="00A8242E"/>
    <w:rsid w:val="00A8325F"/>
    <w:rsid w:val="00A837BB"/>
    <w:rsid w:val="00A84015"/>
    <w:rsid w:val="00A847A2"/>
    <w:rsid w:val="00A84EF9"/>
    <w:rsid w:val="00A869CE"/>
    <w:rsid w:val="00A90153"/>
    <w:rsid w:val="00A90B4B"/>
    <w:rsid w:val="00A91F00"/>
    <w:rsid w:val="00A92B41"/>
    <w:rsid w:val="00A92D74"/>
    <w:rsid w:val="00A93C5B"/>
    <w:rsid w:val="00A93E0F"/>
    <w:rsid w:val="00A962EF"/>
    <w:rsid w:val="00A96787"/>
    <w:rsid w:val="00A96C6C"/>
    <w:rsid w:val="00AA1194"/>
    <w:rsid w:val="00AA1A40"/>
    <w:rsid w:val="00AA2259"/>
    <w:rsid w:val="00AA24B0"/>
    <w:rsid w:val="00AA39C3"/>
    <w:rsid w:val="00AA3A27"/>
    <w:rsid w:val="00AA74AC"/>
    <w:rsid w:val="00AB124A"/>
    <w:rsid w:val="00AB20A2"/>
    <w:rsid w:val="00AB255C"/>
    <w:rsid w:val="00AB406A"/>
    <w:rsid w:val="00AB6E65"/>
    <w:rsid w:val="00AB7E89"/>
    <w:rsid w:val="00AC0EBC"/>
    <w:rsid w:val="00AC2304"/>
    <w:rsid w:val="00AC28C7"/>
    <w:rsid w:val="00AC30DA"/>
    <w:rsid w:val="00AC334F"/>
    <w:rsid w:val="00AC492B"/>
    <w:rsid w:val="00AC5C3D"/>
    <w:rsid w:val="00AC6B00"/>
    <w:rsid w:val="00AD0F73"/>
    <w:rsid w:val="00AD130A"/>
    <w:rsid w:val="00AD1CFD"/>
    <w:rsid w:val="00AD3DA8"/>
    <w:rsid w:val="00AD4268"/>
    <w:rsid w:val="00AD4EF1"/>
    <w:rsid w:val="00AD7942"/>
    <w:rsid w:val="00AE0DBF"/>
    <w:rsid w:val="00AE1971"/>
    <w:rsid w:val="00AE2594"/>
    <w:rsid w:val="00AE33E7"/>
    <w:rsid w:val="00AE4A7B"/>
    <w:rsid w:val="00AE611F"/>
    <w:rsid w:val="00AE7112"/>
    <w:rsid w:val="00AE718B"/>
    <w:rsid w:val="00AF22DD"/>
    <w:rsid w:val="00AF513A"/>
    <w:rsid w:val="00AF5782"/>
    <w:rsid w:val="00AF6478"/>
    <w:rsid w:val="00AF6948"/>
    <w:rsid w:val="00B00420"/>
    <w:rsid w:val="00B00B5C"/>
    <w:rsid w:val="00B021E6"/>
    <w:rsid w:val="00B02DA1"/>
    <w:rsid w:val="00B0378E"/>
    <w:rsid w:val="00B037DC"/>
    <w:rsid w:val="00B04A40"/>
    <w:rsid w:val="00B05DF2"/>
    <w:rsid w:val="00B0694A"/>
    <w:rsid w:val="00B06C38"/>
    <w:rsid w:val="00B06EC1"/>
    <w:rsid w:val="00B103BE"/>
    <w:rsid w:val="00B10A22"/>
    <w:rsid w:val="00B10C22"/>
    <w:rsid w:val="00B111AA"/>
    <w:rsid w:val="00B1121D"/>
    <w:rsid w:val="00B13E80"/>
    <w:rsid w:val="00B16646"/>
    <w:rsid w:val="00B174C1"/>
    <w:rsid w:val="00B174F2"/>
    <w:rsid w:val="00B210C0"/>
    <w:rsid w:val="00B21165"/>
    <w:rsid w:val="00B223C4"/>
    <w:rsid w:val="00B2260B"/>
    <w:rsid w:val="00B24624"/>
    <w:rsid w:val="00B2657E"/>
    <w:rsid w:val="00B26E0B"/>
    <w:rsid w:val="00B325AC"/>
    <w:rsid w:val="00B329EB"/>
    <w:rsid w:val="00B344F7"/>
    <w:rsid w:val="00B348DE"/>
    <w:rsid w:val="00B34D0D"/>
    <w:rsid w:val="00B3523D"/>
    <w:rsid w:val="00B35255"/>
    <w:rsid w:val="00B356F2"/>
    <w:rsid w:val="00B37F9A"/>
    <w:rsid w:val="00B41596"/>
    <w:rsid w:val="00B45D1E"/>
    <w:rsid w:val="00B50028"/>
    <w:rsid w:val="00B531CB"/>
    <w:rsid w:val="00B54835"/>
    <w:rsid w:val="00B548BB"/>
    <w:rsid w:val="00B55220"/>
    <w:rsid w:val="00B57415"/>
    <w:rsid w:val="00B60196"/>
    <w:rsid w:val="00B60853"/>
    <w:rsid w:val="00B628A1"/>
    <w:rsid w:val="00B64D08"/>
    <w:rsid w:val="00B64F0A"/>
    <w:rsid w:val="00B65020"/>
    <w:rsid w:val="00B65CB1"/>
    <w:rsid w:val="00B65CBF"/>
    <w:rsid w:val="00B66775"/>
    <w:rsid w:val="00B673AE"/>
    <w:rsid w:val="00B6755D"/>
    <w:rsid w:val="00B67C09"/>
    <w:rsid w:val="00B67C8B"/>
    <w:rsid w:val="00B71567"/>
    <w:rsid w:val="00B724C9"/>
    <w:rsid w:val="00B73786"/>
    <w:rsid w:val="00B74B69"/>
    <w:rsid w:val="00B74DB9"/>
    <w:rsid w:val="00B7525D"/>
    <w:rsid w:val="00B763E2"/>
    <w:rsid w:val="00B80022"/>
    <w:rsid w:val="00B807CE"/>
    <w:rsid w:val="00B80829"/>
    <w:rsid w:val="00B816DA"/>
    <w:rsid w:val="00B8197E"/>
    <w:rsid w:val="00B828D0"/>
    <w:rsid w:val="00B840D7"/>
    <w:rsid w:val="00B8471C"/>
    <w:rsid w:val="00B84F40"/>
    <w:rsid w:val="00B851BE"/>
    <w:rsid w:val="00B8538C"/>
    <w:rsid w:val="00B85705"/>
    <w:rsid w:val="00B87A19"/>
    <w:rsid w:val="00B87A82"/>
    <w:rsid w:val="00B87AB3"/>
    <w:rsid w:val="00B900DD"/>
    <w:rsid w:val="00B919B0"/>
    <w:rsid w:val="00B91A5E"/>
    <w:rsid w:val="00B936FB"/>
    <w:rsid w:val="00B94FF5"/>
    <w:rsid w:val="00B97113"/>
    <w:rsid w:val="00BA15D0"/>
    <w:rsid w:val="00BA23ED"/>
    <w:rsid w:val="00BA4F6F"/>
    <w:rsid w:val="00BA75CE"/>
    <w:rsid w:val="00BB0123"/>
    <w:rsid w:val="00BB1820"/>
    <w:rsid w:val="00BB2200"/>
    <w:rsid w:val="00BB36A8"/>
    <w:rsid w:val="00BB3C86"/>
    <w:rsid w:val="00BB4450"/>
    <w:rsid w:val="00BB4FE4"/>
    <w:rsid w:val="00BB593B"/>
    <w:rsid w:val="00BB5DE9"/>
    <w:rsid w:val="00BB5E9E"/>
    <w:rsid w:val="00BB67A2"/>
    <w:rsid w:val="00BB6DF0"/>
    <w:rsid w:val="00BB70F1"/>
    <w:rsid w:val="00BB761C"/>
    <w:rsid w:val="00BC37C5"/>
    <w:rsid w:val="00BC641A"/>
    <w:rsid w:val="00BD530F"/>
    <w:rsid w:val="00BD5D31"/>
    <w:rsid w:val="00BD6848"/>
    <w:rsid w:val="00BD75D2"/>
    <w:rsid w:val="00BE00C3"/>
    <w:rsid w:val="00BE0225"/>
    <w:rsid w:val="00BE03CC"/>
    <w:rsid w:val="00BE0F8C"/>
    <w:rsid w:val="00BE11C3"/>
    <w:rsid w:val="00BE1BD9"/>
    <w:rsid w:val="00BE358B"/>
    <w:rsid w:val="00BE3CB2"/>
    <w:rsid w:val="00BE3D97"/>
    <w:rsid w:val="00BE52C6"/>
    <w:rsid w:val="00BF2DAC"/>
    <w:rsid w:val="00BF3F5F"/>
    <w:rsid w:val="00C004A5"/>
    <w:rsid w:val="00C0112B"/>
    <w:rsid w:val="00C04C60"/>
    <w:rsid w:val="00C05B97"/>
    <w:rsid w:val="00C05C07"/>
    <w:rsid w:val="00C0685F"/>
    <w:rsid w:val="00C11A2A"/>
    <w:rsid w:val="00C127DC"/>
    <w:rsid w:val="00C127FA"/>
    <w:rsid w:val="00C15ACA"/>
    <w:rsid w:val="00C15FFF"/>
    <w:rsid w:val="00C20044"/>
    <w:rsid w:val="00C20809"/>
    <w:rsid w:val="00C20E3B"/>
    <w:rsid w:val="00C20F51"/>
    <w:rsid w:val="00C21263"/>
    <w:rsid w:val="00C2300F"/>
    <w:rsid w:val="00C23A82"/>
    <w:rsid w:val="00C24A7C"/>
    <w:rsid w:val="00C26F4B"/>
    <w:rsid w:val="00C27CDF"/>
    <w:rsid w:val="00C30F80"/>
    <w:rsid w:val="00C31574"/>
    <w:rsid w:val="00C31827"/>
    <w:rsid w:val="00C33690"/>
    <w:rsid w:val="00C338F4"/>
    <w:rsid w:val="00C34D16"/>
    <w:rsid w:val="00C36C4A"/>
    <w:rsid w:val="00C40BF7"/>
    <w:rsid w:val="00C41104"/>
    <w:rsid w:val="00C41D18"/>
    <w:rsid w:val="00C432CD"/>
    <w:rsid w:val="00C43DF2"/>
    <w:rsid w:val="00C45412"/>
    <w:rsid w:val="00C45C45"/>
    <w:rsid w:val="00C461D4"/>
    <w:rsid w:val="00C46549"/>
    <w:rsid w:val="00C46F81"/>
    <w:rsid w:val="00C47423"/>
    <w:rsid w:val="00C47612"/>
    <w:rsid w:val="00C5018B"/>
    <w:rsid w:val="00C5052F"/>
    <w:rsid w:val="00C50782"/>
    <w:rsid w:val="00C512E6"/>
    <w:rsid w:val="00C51831"/>
    <w:rsid w:val="00C52C5B"/>
    <w:rsid w:val="00C53043"/>
    <w:rsid w:val="00C53634"/>
    <w:rsid w:val="00C54384"/>
    <w:rsid w:val="00C54C1C"/>
    <w:rsid w:val="00C5562B"/>
    <w:rsid w:val="00C572D6"/>
    <w:rsid w:val="00C57571"/>
    <w:rsid w:val="00C5786D"/>
    <w:rsid w:val="00C60F1B"/>
    <w:rsid w:val="00C60F97"/>
    <w:rsid w:val="00C6101F"/>
    <w:rsid w:val="00C648CA"/>
    <w:rsid w:val="00C64EDA"/>
    <w:rsid w:val="00C65995"/>
    <w:rsid w:val="00C65ED2"/>
    <w:rsid w:val="00C660AE"/>
    <w:rsid w:val="00C6669A"/>
    <w:rsid w:val="00C66B47"/>
    <w:rsid w:val="00C71F57"/>
    <w:rsid w:val="00C72645"/>
    <w:rsid w:val="00C72E50"/>
    <w:rsid w:val="00C74B2F"/>
    <w:rsid w:val="00C75431"/>
    <w:rsid w:val="00C75B45"/>
    <w:rsid w:val="00C76604"/>
    <w:rsid w:val="00C801C8"/>
    <w:rsid w:val="00C80E0F"/>
    <w:rsid w:val="00C81821"/>
    <w:rsid w:val="00C81F63"/>
    <w:rsid w:val="00C82E26"/>
    <w:rsid w:val="00C84C21"/>
    <w:rsid w:val="00C852CA"/>
    <w:rsid w:val="00C9028E"/>
    <w:rsid w:val="00C90BFE"/>
    <w:rsid w:val="00C912F7"/>
    <w:rsid w:val="00C91529"/>
    <w:rsid w:val="00C92204"/>
    <w:rsid w:val="00C929EA"/>
    <w:rsid w:val="00C9418A"/>
    <w:rsid w:val="00C953CC"/>
    <w:rsid w:val="00C9712A"/>
    <w:rsid w:val="00C971B7"/>
    <w:rsid w:val="00CA0BE1"/>
    <w:rsid w:val="00CA108F"/>
    <w:rsid w:val="00CA2744"/>
    <w:rsid w:val="00CA31A5"/>
    <w:rsid w:val="00CA4A17"/>
    <w:rsid w:val="00CA4C2D"/>
    <w:rsid w:val="00CB1125"/>
    <w:rsid w:val="00CB1B96"/>
    <w:rsid w:val="00CB1EAC"/>
    <w:rsid w:val="00CB37BA"/>
    <w:rsid w:val="00CB7296"/>
    <w:rsid w:val="00CC0920"/>
    <w:rsid w:val="00CC18B0"/>
    <w:rsid w:val="00CC1922"/>
    <w:rsid w:val="00CC1A2F"/>
    <w:rsid w:val="00CC1C76"/>
    <w:rsid w:val="00CC37EF"/>
    <w:rsid w:val="00CC427E"/>
    <w:rsid w:val="00CC4B44"/>
    <w:rsid w:val="00CC508D"/>
    <w:rsid w:val="00CD02AA"/>
    <w:rsid w:val="00CD0D89"/>
    <w:rsid w:val="00CD110D"/>
    <w:rsid w:val="00CD1A3F"/>
    <w:rsid w:val="00CD3413"/>
    <w:rsid w:val="00CD3AF9"/>
    <w:rsid w:val="00CD5C30"/>
    <w:rsid w:val="00CD6832"/>
    <w:rsid w:val="00CD7A2B"/>
    <w:rsid w:val="00CD7C07"/>
    <w:rsid w:val="00CE0ED3"/>
    <w:rsid w:val="00CE1496"/>
    <w:rsid w:val="00CE2FC6"/>
    <w:rsid w:val="00CE43AB"/>
    <w:rsid w:val="00CE4ED2"/>
    <w:rsid w:val="00CE5B0C"/>
    <w:rsid w:val="00CE6E22"/>
    <w:rsid w:val="00CF0EDD"/>
    <w:rsid w:val="00CF1413"/>
    <w:rsid w:val="00CF16E3"/>
    <w:rsid w:val="00CF21FF"/>
    <w:rsid w:val="00CF3B90"/>
    <w:rsid w:val="00CF4217"/>
    <w:rsid w:val="00CF4BAB"/>
    <w:rsid w:val="00CF7A8A"/>
    <w:rsid w:val="00D00287"/>
    <w:rsid w:val="00D007B4"/>
    <w:rsid w:val="00D0083E"/>
    <w:rsid w:val="00D01D2B"/>
    <w:rsid w:val="00D02085"/>
    <w:rsid w:val="00D0216A"/>
    <w:rsid w:val="00D0224E"/>
    <w:rsid w:val="00D026A4"/>
    <w:rsid w:val="00D02A5D"/>
    <w:rsid w:val="00D02DE9"/>
    <w:rsid w:val="00D032C0"/>
    <w:rsid w:val="00D05667"/>
    <w:rsid w:val="00D0685D"/>
    <w:rsid w:val="00D068B2"/>
    <w:rsid w:val="00D06DD0"/>
    <w:rsid w:val="00D06E5F"/>
    <w:rsid w:val="00D0731F"/>
    <w:rsid w:val="00D073B7"/>
    <w:rsid w:val="00D103C3"/>
    <w:rsid w:val="00D10969"/>
    <w:rsid w:val="00D11C69"/>
    <w:rsid w:val="00D12645"/>
    <w:rsid w:val="00D127AE"/>
    <w:rsid w:val="00D140FC"/>
    <w:rsid w:val="00D14755"/>
    <w:rsid w:val="00D1623B"/>
    <w:rsid w:val="00D1643A"/>
    <w:rsid w:val="00D16634"/>
    <w:rsid w:val="00D178EF"/>
    <w:rsid w:val="00D2157C"/>
    <w:rsid w:val="00D21A8E"/>
    <w:rsid w:val="00D23487"/>
    <w:rsid w:val="00D25B9C"/>
    <w:rsid w:val="00D2608C"/>
    <w:rsid w:val="00D26301"/>
    <w:rsid w:val="00D26A4C"/>
    <w:rsid w:val="00D30A28"/>
    <w:rsid w:val="00D312B8"/>
    <w:rsid w:val="00D36F95"/>
    <w:rsid w:val="00D37205"/>
    <w:rsid w:val="00D37463"/>
    <w:rsid w:val="00D37F8D"/>
    <w:rsid w:val="00D401D8"/>
    <w:rsid w:val="00D4088C"/>
    <w:rsid w:val="00D41099"/>
    <w:rsid w:val="00D4184C"/>
    <w:rsid w:val="00D42649"/>
    <w:rsid w:val="00D42AE3"/>
    <w:rsid w:val="00D43A63"/>
    <w:rsid w:val="00D44169"/>
    <w:rsid w:val="00D44DD8"/>
    <w:rsid w:val="00D459F7"/>
    <w:rsid w:val="00D45C2A"/>
    <w:rsid w:val="00D4725B"/>
    <w:rsid w:val="00D50178"/>
    <w:rsid w:val="00D501CD"/>
    <w:rsid w:val="00D511A4"/>
    <w:rsid w:val="00D53921"/>
    <w:rsid w:val="00D5555A"/>
    <w:rsid w:val="00D5693C"/>
    <w:rsid w:val="00D57DB6"/>
    <w:rsid w:val="00D621AC"/>
    <w:rsid w:val="00D62735"/>
    <w:rsid w:val="00D672F3"/>
    <w:rsid w:val="00D7081C"/>
    <w:rsid w:val="00D70F67"/>
    <w:rsid w:val="00D72710"/>
    <w:rsid w:val="00D753A3"/>
    <w:rsid w:val="00D77C45"/>
    <w:rsid w:val="00D80B8E"/>
    <w:rsid w:val="00D80E68"/>
    <w:rsid w:val="00D81FA3"/>
    <w:rsid w:val="00D82053"/>
    <w:rsid w:val="00D82593"/>
    <w:rsid w:val="00D83C6E"/>
    <w:rsid w:val="00D84146"/>
    <w:rsid w:val="00D84694"/>
    <w:rsid w:val="00D8577B"/>
    <w:rsid w:val="00D86125"/>
    <w:rsid w:val="00D8651C"/>
    <w:rsid w:val="00D866E4"/>
    <w:rsid w:val="00D8732A"/>
    <w:rsid w:val="00D90012"/>
    <w:rsid w:val="00D90D1E"/>
    <w:rsid w:val="00D9172E"/>
    <w:rsid w:val="00D92661"/>
    <w:rsid w:val="00D9314B"/>
    <w:rsid w:val="00D94004"/>
    <w:rsid w:val="00D946D8"/>
    <w:rsid w:val="00D96FEA"/>
    <w:rsid w:val="00DA0578"/>
    <w:rsid w:val="00DA1562"/>
    <w:rsid w:val="00DA3B17"/>
    <w:rsid w:val="00DA4AF4"/>
    <w:rsid w:val="00DA4D0C"/>
    <w:rsid w:val="00DA7879"/>
    <w:rsid w:val="00DA793A"/>
    <w:rsid w:val="00DA7E10"/>
    <w:rsid w:val="00DB0C90"/>
    <w:rsid w:val="00DB0F6B"/>
    <w:rsid w:val="00DB139E"/>
    <w:rsid w:val="00DB382B"/>
    <w:rsid w:val="00DB3A6D"/>
    <w:rsid w:val="00DB4820"/>
    <w:rsid w:val="00DB4A52"/>
    <w:rsid w:val="00DB61A8"/>
    <w:rsid w:val="00DB757D"/>
    <w:rsid w:val="00DC21D0"/>
    <w:rsid w:val="00DC21F6"/>
    <w:rsid w:val="00DC353A"/>
    <w:rsid w:val="00DC4738"/>
    <w:rsid w:val="00DC63D8"/>
    <w:rsid w:val="00DC72CD"/>
    <w:rsid w:val="00DD016F"/>
    <w:rsid w:val="00DD0E10"/>
    <w:rsid w:val="00DD1690"/>
    <w:rsid w:val="00DD28DE"/>
    <w:rsid w:val="00DD3C02"/>
    <w:rsid w:val="00DD4235"/>
    <w:rsid w:val="00DD50C6"/>
    <w:rsid w:val="00DD5F73"/>
    <w:rsid w:val="00DD6A53"/>
    <w:rsid w:val="00DD7AAE"/>
    <w:rsid w:val="00DE0B7B"/>
    <w:rsid w:val="00DE1F43"/>
    <w:rsid w:val="00DE233D"/>
    <w:rsid w:val="00DE248C"/>
    <w:rsid w:val="00DE26F6"/>
    <w:rsid w:val="00DE3565"/>
    <w:rsid w:val="00DE4E1A"/>
    <w:rsid w:val="00DE5E23"/>
    <w:rsid w:val="00DE63BD"/>
    <w:rsid w:val="00DE67A1"/>
    <w:rsid w:val="00DE7188"/>
    <w:rsid w:val="00DF25A3"/>
    <w:rsid w:val="00DF25D1"/>
    <w:rsid w:val="00DF3C13"/>
    <w:rsid w:val="00DF69BE"/>
    <w:rsid w:val="00DF6C2A"/>
    <w:rsid w:val="00E001E2"/>
    <w:rsid w:val="00E00CAA"/>
    <w:rsid w:val="00E01C68"/>
    <w:rsid w:val="00E0416B"/>
    <w:rsid w:val="00E050BF"/>
    <w:rsid w:val="00E0569C"/>
    <w:rsid w:val="00E05D83"/>
    <w:rsid w:val="00E065B7"/>
    <w:rsid w:val="00E07F1F"/>
    <w:rsid w:val="00E10A4F"/>
    <w:rsid w:val="00E10CE6"/>
    <w:rsid w:val="00E11186"/>
    <w:rsid w:val="00E11912"/>
    <w:rsid w:val="00E11C61"/>
    <w:rsid w:val="00E12604"/>
    <w:rsid w:val="00E13F23"/>
    <w:rsid w:val="00E14094"/>
    <w:rsid w:val="00E1421A"/>
    <w:rsid w:val="00E144E6"/>
    <w:rsid w:val="00E147B6"/>
    <w:rsid w:val="00E16A1D"/>
    <w:rsid w:val="00E210F6"/>
    <w:rsid w:val="00E2369D"/>
    <w:rsid w:val="00E25F1C"/>
    <w:rsid w:val="00E2729C"/>
    <w:rsid w:val="00E3017B"/>
    <w:rsid w:val="00E308CD"/>
    <w:rsid w:val="00E3105A"/>
    <w:rsid w:val="00E31833"/>
    <w:rsid w:val="00E3199C"/>
    <w:rsid w:val="00E3434C"/>
    <w:rsid w:val="00E34C69"/>
    <w:rsid w:val="00E36B12"/>
    <w:rsid w:val="00E37A20"/>
    <w:rsid w:val="00E37AD2"/>
    <w:rsid w:val="00E4027D"/>
    <w:rsid w:val="00E40795"/>
    <w:rsid w:val="00E40F3C"/>
    <w:rsid w:val="00E4226E"/>
    <w:rsid w:val="00E4578E"/>
    <w:rsid w:val="00E45F0A"/>
    <w:rsid w:val="00E46199"/>
    <w:rsid w:val="00E47236"/>
    <w:rsid w:val="00E4784C"/>
    <w:rsid w:val="00E5103C"/>
    <w:rsid w:val="00E521CB"/>
    <w:rsid w:val="00E52D27"/>
    <w:rsid w:val="00E53A92"/>
    <w:rsid w:val="00E54DE1"/>
    <w:rsid w:val="00E569D7"/>
    <w:rsid w:val="00E569FC"/>
    <w:rsid w:val="00E57AB1"/>
    <w:rsid w:val="00E613C9"/>
    <w:rsid w:val="00E62BBC"/>
    <w:rsid w:val="00E62E30"/>
    <w:rsid w:val="00E63575"/>
    <w:rsid w:val="00E64B07"/>
    <w:rsid w:val="00E64B60"/>
    <w:rsid w:val="00E6508C"/>
    <w:rsid w:val="00E65B48"/>
    <w:rsid w:val="00E701CE"/>
    <w:rsid w:val="00E70D54"/>
    <w:rsid w:val="00E70E11"/>
    <w:rsid w:val="00E7337E"/>
    <w:rsid w:val="00E748C3"/>
    <w:rsid w:val="00E760FF"/>
    <w:rsid w:val="00E76DF5"/>
    <w:rsid w:val="00E77D36"/>
    <w:rsid w:val="00E80491"/>
    <w:rsid w:val="00E80873"/>
    <w:rsid w:val="00E818ED"/>
    <w:rsid w:val="00E824EC"/>
    <w:rsid w:val="00E8405C"/>
    <w:rsid w:val="00E8695D"/>
    <w:rsid w:val="00E9076C"/>
    <w:rsid w:val="00E90C34"/>
    <w:rsid w:val="00E90D6B"/>
    <w:rsid w:val="00E90DB8"/>
    <w:rsid w:val="00E91CCE"/>
    <w:rsid w:val="00E9366E"/>
    <w:rsid w:val="00E9432D"/>
    <w:rsid w:val="00E94B84"/>
    <w:rsid w:val="00E95AB2"/>
    <w:rsid w:val="00E95B5C"/>
    <w:rsid w:val="00E969E9"/>
    <w:rsid w:val="00E97817"/>
    <w:rsid w:val="00E97AA8"/>
    <w:rsid w:val="00E97DA5"/>
    <w:rsid w:val="00EA1D56"/>
    <w:rsid w:val="00EA29C0"/>
    <w:rsid w:val="00EA2AB7"/>
    <w:rsid w:val="00EA3BCB"/>
    <w:rsid w:val="00EA3E00"/>
    <w:rsid w:val="00EA4A83"/>
    <w:rsid w:val="00EA4BAC"/>
    <w:rsid w:val="00EA5BA5"/>
    <w:rsid w:val="00EA63A5"/>
    <w:rsid w:val="00EA6D7E"/>
    <w:rsid w:val="00EA70F4"/>
    <w:rsid w:val="00EA7682"/>
    <w:rsid w:val="00EB06EE"/>
    <w:rsid w:val="00EB073D"/>
    <w:rsid w:val="00EB07F9"/>
    <w:rsid w:val="00EB124E"/>
    <w:rsid w:val="00EB16D3"/>
    <w:rsid w:val="00EB1965"/>
    <w:rsid w:val="00EB214C"/>
    <w:rsid w:val="00EB2279"/>
    <w:rsid w:val="00EB2DA6"/>
    <w:rsid w:val="00EB5281"/>
    <w:rsid w:val="00EB5612"/>
    <w:rsid w:val="00EB5737"/>
    <w:rsid w:val="00EB7662"/>
    <w:rsid w:val="00EB7E2C"/>
    <w:rsid w:val="00EC02A8"/>
    <w:rsid w:val="00EC12CE"/>
    <w:rsid w:val="00EC1C70"/>
    <w:rsid w:val="00EC33E6"/>
    <w:rsid w:val="00EC6FA3"/>
    <w:rsid w:val="00EC79FD"/>
    <w:rsid w:val="00ED1E18"/>
    <w:rsid w:val="00ED1F29"/>
    <w:rsid w:val="00ED2164"/>
    <w:rsid w:val="00ED38BA"/>
    <w:rsid w:val="00ED3B06"/>
    <w:rsid w:val="00ED7624"/>
    <w:rsid w:val="00EE167B"/>
    <w:rsid w:val="00EE27C7"/>
    <w:rsid w:val="00EE2FDB"/>
    <w:rsid w:val="00EE44F1"/>
    <w:rsid w:val="00EE4D00"/>
    <w:rsid w:val="00EE4FC9"/>
    <w:rsid w:val="00EF0013"/>
    <w:rsid w:val="00EF0582"/>
    <w:rsid w:val="00EF0C07"/>
    <w:rsid w:val="00EF1561"/>
    <w:rsid w:val="00EF35C4"/>
    <w:rsid w:val="00EF4977"/>
    <w:rsid w:val="00EF6720"/>
    <w:rsid w:val="00EF748B"/>
    <w:rsid w:val="00F00832"/>
    <w:rsid w:val="00F00F3B"/>
    <w:rsid w:val="00F01C19"/>
    <w:rsid w:val="00F03176"/>
    <w:rsid w:val="00F047F8"/>
    <w:rsid w:val="00F0517A"/>
    <w:rsid w:val="00F07EC8"/>
    <w:rsid w:val="00F108FD"/>
    <w:rsid w:val="00F113EA"/>
    <w:rsid w:val="00F115D3"/>
    <w:rsid w:val="00F11CB9"/>
    <w:rsid w:val="00F11D73"/>
    <w:rsid w:val="00F129A0"/>
    <w:rsid w:val="00F133FB"/>
    <w:rsid w:val="00F14D23"/>
    <w:rsid w:val="00F17B2B"/>
    <w:rsid w:val="00F17D8D"/>
    <w:rsid w:val="00F2086B"/>
    <w:rsid w:val="00F209D7"/>
    <w:rsid w:val="00F211E1"/>
    <w:rsid w:val="00F23528"/>
    <w:rsid w:val="00F23626"/>
    <w:rsid w:val="00F24DAC"/>
    <w:rsid w:val="00F2520C"/>
    <w:rsid w:val="00F25918"/>
    <w:rsid w:val="00F30A14"/>
    <w:rsid w:val="00F31A63"/>
    <w:rsid w:val="00F31F7B"/>
    <w:rsid w:val="00F3384C"/>
    <w:rsid w:val="00F34C4E"/>
    <w:rsid w:val="00F36002"/>
    <w:rsid w:val="00F40523"/>
    <w:rsid w:val="00F409AD"/>
    <w:rsid w:val="00F40ADD"/>
    <w:rsid w:val="00F41B7A"/>
    <w:rsid w:val="00F430B3"/>
    <w:rsid w:val="00F43CC5"/>
    <w:rsid w:val="00F44ADD"/>
    <w:rsid w:val="00F44EE0"/>
    <w:rsid w:val="00F47C5D"/>
    <w:rsid w:val="00F502C5"/>
    <w:rsid w:val="00F52010"/>
    <w:rsid w:val="00F521D6"/>
    <w:rsid w:val="00F5297C"/>
    <w:rsid w:val="00F539FB"/>
    <w:rsid w:val="00F53F27"/>
    <w:rsid w:val="00F55ED6"/>
    <w:rsid w:val="00F56E43"/>
    <w:rsid w:val="00F60132"/>
    <w:rsid w:val="00F60892"/>
    <w:rsid w:val="00F618CC"/>
    <w:rsid w:val="00F61E68"/>
    <w:rsid w:val="00F62520"/>
    <w:rsid w:val="00F6261C"/>
    <w:rsid w:val="00F65972"/>
    <w:rsid w:val="00F67875"/>
    <w:rsid w:val="00F70624"/>
    <w:rsid w:val="00F7138B"/>
    <w:rsid w:val="00F71A51"/>
    <w:rsid w:val="00F71F65"/>
    <w:rsid w:val="00F72290"/>
    <w:rsid w:val="00F72541"/>
    <w:rsid w:val="00F726FF"/>
    <w:rsid w:val="00F779FE"/>
    <w:rsid w:val="00F81525"/>
    <w:rsid w:val="00F828CC"/>
    <w:rsid w:val="00F8508B"/>
    <w:rsid w:val="00F85983"/>
    <w:rsid w:val="00F865CB"/>
    <w:rsid w:val="00F86A40"/>
    <w:rsid w:val="00F86C59"/>
    <w:rsid w:val="00F90307"/>
    <w:rsid w:val="00F90B67"/>
    <w:rsid w:val="00F90CB2"/>
    <w:rsid w:val="00F90E0F"/>
    <w:rsid w:val="00F91A0B"/>
    <w:rsid w:val="00F92846"/>
    <w:rsid w:val="00F94EEE"/>
    <w:rsid w:val="00F96D0E"/>
    <w:rsid w:val="00F97906"/>
    <w:rsid w:val="00FA0307"/>
    <w:rsid w:val="00FA07F8"/>
    <w:rsid w:val="00FA0E2C"/>
    <w:rsid w:val="00FA2297"/>
    <w:rsid w:val="00FA3163"/>
    <w:rsid w:val="00FA4742"/>
    <w:rsid w:val="00FA6108"/>
    <w:rsid w:val="00FA76E0"/>
    <w:rsid w:val="00FB05EB"/>
    <w:rsid w:val="00FB2330"/>
    <w:rsid w:val="00FB563C"/>
    <w:rsid w:val="00FB69DA"/>
    <w:rsid w:val="00FB7C14"/>
    <w:rsid w:val="00FB7C77"/>
    <w:rsid w:val="00FC209E"/>
    <w:rsid w:val="00FC2959"/>
    <w:rsid w:val="00FC3D3C"/>
    <w:rsid w:val="00FC3E91"/>
    <w:rsid w:val="00FC4492"/>
    <w:rsid w:val="00FC4F1B"/>
    <w:rsid w:val="00FC5AD5"/>
    <w:rsid w:val="00FC65FB"/>
    <w:rsid w:val="00FC6905"/>
    <w:rsid w:val="00FC72D5"/>
    <w:rsid w:val="00FC73B6"/>
    <w:rsid w:val="00FD116E"/>
    <w:rsid w:val="00FD3568"/>
    <w:rsid w:val="00FD4ACC"/>
    <w:rsid w:val="00FD6ABE"/>
    <w:rsid w:val="00FD6EB5"/>
    <w:rsid w:val="00FD74C0"/>
    <w:rsid w:val="00FE01F6"/>
    <w:rsid w:val="00FE05D3"/>
    <w:rsid w:val="00FE0A3F"/>
    <w:rsid w:val="00FE15F5"/>
    <w:rsid w:val="00FE358E"/>
    <w:rsid w:val="00FE3885"/>
    <w:rsid w:val="00FE38A6"/>
    <w:rsid w:val="00FE3EEE"/>
    <w:rsid w:val="00FE4282"/>
    <w:rsid w:val="00FE4A15"/>
    <w:rsid w:val="00FE5083"/>
    <w:rsid w:val="00FE6480"/>
    <w:rsid w:val="00FE74E5"/>
    <w:rsid w:val="00FF1A0F"/>
    <w:rsid w:val="00FF23EA"/>
    <w:rsid w:val="00FF3731"/>
    <w:rsid w:val="00FF3733"/>
    <w:rsid w:val="00FF4726"/>
    <w:rsid w:val="00FF4812"/>
    <w:rsid w:val="00FF5BCB"/>
    <w:rsid w:val="00FF6E93"/>
    <w:rsid w:val="00FF78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D17D"/>
  <w15:docId w15:val="{EC680577-40F2-4A65-8E01-676321C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1">
    <w:name w:val="Überschrift 11"/>
    <w:basedOn w:val="Normal"/>
    <w:next w:val="Normal"/>
    <w:link w:val="Heading1Char"/>
    <w:qFormat/>
    <w:rsid w:val="00DC2286"/>
    <w:pPr>
      <w:keepNext/>
      <w:tabs>
        <w:tab w:val="left" w:pos="0"/>
      </w:tabs>
      <w:jc w:val="both"/>
      <w:outlineLvl w:val="0"/>
    </w:pPr>
    <w:rPr>
      <w:rFonts w:ascii="Century Gothic" w:hAnsi="Century Gothic"/>
      <w:b/>
      <w:sz w:val="22"/>
      <w:szCs w:val="20"/>
      <w:lang w:eastAsia="en-US"/>
    </w:rPr>
  </w:style>
  <w:style w:type="paragraph" w:customStyle="1" w:styleId="berschrift21">
    <w:name w:val="Überschrift 21"/>
    <w:basedOn w:val="Normal"/>
    <w:next w:val="Normal"/>
    <w:link w:val="Heading2Char"/>
    <w:qFormat/>
    <w:rsid w:val="00DC2286"/>
    <w:pPr>
      <w:keepNext/>
      <w:tabs>
        <w:tab w:val="left" w:pos="0"/>
      </w:tabs>
      <w:jc w:val="both"/>
      <w:outlineLvl w:val="1"/>
    </w:pPr>
    <w:rPr>
      <w:rFonts w:ascii="Century Gothic" w:hAnsi="Century Gothic"/>
      <w:i/>
      <w:sz w:val="22"/>
      <w:szCs w:val="20"/>
      <w:lang w:eastAsia="en-US"/>
    </w:rPr>
  </w:style>
  <w:style w:type="paragraph" w:customStyle="1" w:styleId="berschrift31">
    <w:name w:val="Überschrift 31"/>
    <w:basedOn w:val="Normal"/>
    <w:next w:val="Normal"/>
    <w:link w:val="Heading3Char"/>
    <w:unhideWhenUsed/>
    <w:qFormat/>
    <w:rsid w:val="005F1D4C"/>
    <w:pPr>
      <w:keepNext/>
      <w:keepLines/>
      <w:spacing w:before="200"/>
      <w:outlineLvl w:val="2"/>
    </w:pPr>
    <w:rPr>
      <w:rFonts w:asciiTheme="majorHAnsi" w:eastAsiaTheme="majorEastAsia" w:hAnsiTheme="majorHAnsi" w:cstheme="majorBidi"/>
      <w:b/>
      <w:bCs/>
      <w:color w:val="4F81BD" w:themeColor="accent1"/>
      <w:lang w:val="en-US" w:eastAsia="en-US"/>
    </w:rPr>
  </w:style>
  <w:style w:type="character" w:customStyle="1" w:styleId="BodyTextChar">
    <w:name w:val="Body Text Char"/>
    <w:basedOn w:val="DefaultParagraphFont"/>
    <w:link w:val="Textkrper1"/>
    <w:qFormat/>
    <w:rsid w:val="007D1F44"/>
    <w:rPr>
      <w:rFonts w:ascii="Century Gothic" w:hAnsi="Century Gothic"/>
      <w:sz w:val="48"/>
      <w:lang w:eastAsia="en-US"/>
    </w:rPr>
  </w:style>
  <w:style w:type="character" w:styleId="CommentReference">
    <w:name w:val="annotation reference"/>
    <w:qFormat/>
    <w:rsid w:val="007D1F44"/>
    <w:rPr>
      <w:sz w:val="16"/>
      <w:szCs w:val="16"/>
    </w:rPr>
  </w:style>
  <w:style w:type="character" w:customStyle="1" w:styleId="CommentTextChar">
    <w:name w:val="Comment Text Char"/>
    <w:basedOn w:val="DefaultParagraphFont"/>
    <w:link w:val="CommentText"/>
    <w:qFormat/>
    <w:rsid w:val="007D1F44"/>
    <w:rPr>
      <w:rFonts w:ascii="Tahoma" w:hAnsi="Tahoma"/>
      <w:lang w:eastAsia="en-US"/>
    </w:rPr>
  </w:style>
  <w:style w:type="character" w:customStyle="1" w:styleId="BalloonTextChar">
    <w:name w:val="Balloon Text Char"/>
    <w:basedOn w:val="DefaultParagraphFont"/>
    <w:link w:val="BalloonText"/>
    <w:qFormat/>
    <w:rsid w:val="007D1F44"/>
    <w:rPr>
      <w:rFonts w:ascii="Tahoma" w:hAnsi="Tahoma" w:cs="Tahoma"/>
      <w:sz w:val="16"/>
      <w:szCs w:val="16"/>
      <w:lang w:val="en-US" w:eastAsia="en-US"/>
    </w:rPr>
  </w:style>
  <w:style w:type="character" w:customStyle="1" w:styleId="Heading1Char">
    <w:name w:val="Heading 1 Char"/>
    <w:basedOn w:val="DefaultParagraphFont"/>
    <w:link w:val="berschrift11"/>
    <w:qFormat/>
    <w:rsid w:val="00DC2286"/>
    <w:rPr>
      <w:rFonts w:ascii="Century Gothic" w:hAnsi="Century Gothic"/>
      <w:b/>
      <w:sz w:val="22"/>
      <w:lang w:eastAsia="en-US"/>
    </w:rPr>
  </w:style>
  <w:style w:type="character" w:customStyle="1" w:styleId="Heading2Char">
    <w:name w:val="Heading 2 Char"/>
    <w:basedOn w:val="DefaultParagraphFont"/>
    <w:link w:val="berschrift21"/>
    <w:qFormat/>
    <w:rsid w:val="00DC2286"/>
    <w:rPr>
      <w:rFonts w:ascii="Century Gothic" w:hAnsi="Century Gothic"/>
      <w:i/>
      <w:sz w:val="22"/>
      <w:lang w:eastAsia="en-US"/>
    </w:rPr>
  </w:style>
  <w:style w:type="character" w:customStyle="1" w:styleId="BodyTextIndentChar">
    <w:name w:val="Body Text Indent Char"/>
    <w:basedOn w:val="DefaultParagraphFont"/>
    <w:link w:val="TextkrperEinrckung"/>
    <w:qFormat/>
    <w:rsid w:val="00DC2286"/>
    <w:rPr>
      <w:sz w:val="24"/>
      <w:szCs w:val="24"/>
      <w:lang w:val="en-US" w:eastAsia="en-US"/>
    </w:rPr>
  </w:style>
  <w:style w:type="character" w:customStyle="1" w:styleId="BodyTextIndent2Char">
    <w:name w:val="Body Text Indent 2 Char"/>
    <w:basedOn w:val="DefaultParagraphFont"/>
    <w:link w:val="BodyTextIndent2"/>
    <w:qFormat/>
    <w:rsid w:val="00DC2286"/>
    <w:rPr>
      <w:sz w:val="24"/>
      <w:szCs w:val="24"/>
      <w:lang w:val="en-US" w:eastAsia="en-US"/>
    </w:rPr>
  </w:style>
  <w:style w:type="character" w:customStyle="1" w:styleId="Heading3Char">
    <w:name w:val="Heading 3 Char"/>
    <w:basedOn w:val="DefaultParagraphFont"/>
    <w:link w:val="berschrift31"/>
    <w:qFormat/>
    <w:rsid w:val="005F1D4C"/>
    <w:rPr>
      <w:rFonts w:asciiTheme="majorHAnsi" w:eastAsiaTheme="majorEastAsia" w:hAnsiTheme="majorHAnsi" w:cstheme="majorBidi"/>
      <w:b/>
      <w:bCs/>
      <w:color w:val="4F81BD" w:themeColor="accent1"/>
      <w:sz w:val="24"/>
      <w:szCs w:val="24"/>
      <w:lang w:val="en-US" w:eastAsia="en-US"/>
    </w:rPr>
  </w:style>
  <w:style w:type="character" w:customStyle="1" w:styleId="CommentSubjectChar">
    <w:name w:val="Comment Subject Char"/>
    <w:basedOn w:val="CommentTextChar"/>
    <w:link w:val="CommentSubject"/>
    <w:qFormat/>
    <w:rsid w:val="00203C9A"/>
    <w:rPr>
      <w:rFonts w:ascii="Tahoma" w:hAnsi="Tahoma"/>
      <w:b/>
      <w:bCs/>
      <w:lang w:val="en-US" w:eastAsia="en-US"/>
    </w:rPr>
  </w:style>
  <w:style w:type="character" w:customStyle="1" w:styleId="ListLabel1">
    <w:name w:val="ListLabel 1"/>
    <w:qFormat/>
    <w:rPr>
      <w:rFonts w:ascii="Gill Sans MT" w:hAnsi="Gill Sans MT"/>
      <w:b/>
      <w:bCs/>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Nummerierungszeichen">
    <w:name w:val="Nummerierungszeichen"/>
    <w:qFormat/>
  </w:style>
  <w:style w:type="paragraph" w:customStyle="1" w:styleId="berschrift">
    <w:name w:val="Überschrift"/>
    <w:basedOn w:val="Normal"/>
    <w:next w:val="Textkrper1"/>
    <w:qFormat/>
    <w:pPr>
      <w:keepNext/>
      <w:spacing w:before="240" w:after="120"/>
    </w:pPr>
    <w:rPr>
      <w:rFonts w:ascii="Liberation Sans" w:eastAsia="Microsoft YaHei" w:hAnsi="Liberation Sans" w:cs="Arial"/>
      <w:sz w:val="28"/>
      <w:szCs w:val="28"/>
      <w:lang w:val="en-US" w:eastAsia="en-US"/>
    </w:rPr>
  </w:style>
  <w:style w:type="paragraph" w:customStyle="1" w:styleId="Textkrper1">
    <w:name w:val="Textkörper1"/>
    <w:basedOn w:val="Normal"/>
    <w:link w:val="BodyTextChar"/>
    <w:rsid w:val="007D1F44"/>
    <w:pPr>
      <w:jc w:val="both"/>
    </w:pPr>
    <w:rPr>
      <w:rFonts w:ascii="Century Gothic" w:hAnsi="Century Gothic"/>
      <w:sz w:val="48"/>
      <w:szCs w:val="20"/>
      <w:lang w:eastAsia="en-US"/>
    </w:rPr>
  </w:style>
  <w:style w:type="paragraph" w:customStyle="1" w:styleId="Liste1">
    <w:name w:val="Liste1"/>
    <w:basedOn w:val="Textkrper1"/>
    <w:rPr>
      <w:rFonts w:cs="Arial"/>
    </w:rPr>
  </w:style>
  <w:style w:type="paragraph" w:customStyle="1" w:styleId="Beschriftung1">
    <w:name w:val="Beschriftung1"/>
    <w:basedOn w:val="Normal"/>
    <w:pPr>
      <w:suppressLineNumbers/>
      <w:spacing w:before="120" w:after="120"/>
    </w:pPr>
    <w:rPr>
      <w:rFonts w:cs="Arial"/>
      <w:i/>
      <w:iCs/>
      <w:lang w:val="en-US" w:eastAsia="en-US"/>
    </w:rPr>
  </w:style>
  <w:style w:type="paragraph" w:customStyle="1" w:styleId="Verzeichnis">
    <w:name w:val="Verzeichnis"/>
    <w:basedOn w:val="Normal"/>
    <w:qFormat/>
    <w:pPr>
      <w:suppressLineNumbers/>
    </w:pPr>
    <w:rPr>
      <w:rFonts w:cs="Arial"/>
      <w:lang w:val="en-US" w:eastAsia="en-US"/>
    </w:rPr>
  </w:style>
  <w:style w:type="paragraph" w:styleId="CommentText">
    <w:name w:val="annotation text"/>
    <w:basedOn w:val="Normal"/>
    <w:link w:val="CommentTextChar"/>
    <w:qFormat/>
    <w:rsid w:val="007D1F44"/>
    <w:pPr>
      <w:jc w:val="both"/>
    </w:pPr>
    <w:rPr>
      <w:rFonts w:ascii="Tahoma" w:hAnsi="Tahoma"/>
      <w:sz w:val="20"/>
      <w:szCs w:val="20"/>
      <w:lang w:eastAsia="en-US"/>
    </w:rPr>
  </w:style>
  <w:style w:type="paragraph" w:styleId="BalloonText">
    <w:name w:val="Balloon Text"/>
    <w:basedOn w:val="Normal"/>
    <w:link w:val="BalloonTextChar"/>
    <w:qFormat/>
    <w:rsid w:val="007D1F44"/>
    <w:rPr>
      <w:rFonts w:ascii="Tahoma" w:hAnsi="Tahoma" w:cs="Tahoma"/>
      <w:sz w:val="16"/>
      <w:szCs w:val="16"/>
      <w:lang w:val="en-US" w:eastAsia="en-US"/>
    </w:rPr>
  </w:style>
  <w:style w:type="paragraph" w:customStyle="1" w:styleId="TextkrperEinrckung">
    <w:name w:val="Textkörper Einrückung"/>
    <w:basedOn w:val="Normal"/>
    <w:link w:val="BodyTextIndentChar"/>
    <w:rsid w:val="00DC2286"/>
    <w:pPr>
      <w:spacing w:after="120"/>
      <w:ind w:left="283"/>
    </w:pPr>
    <w:rPr>
      <w:lang w:val="en-US" w:eastAsia="en-US"/>
    </w:rPr>
  </w:style>
  <w:style w:type="paragraph" w:styleId="BodyTextIndent2">
    <w:name w:val="Body Text Indent 2"/>
    <w:basedOn w:val="Normal"/>
    <w:link w:val="BodyTextIndent2Char"/>
    <w:qFormat/>
    <w:rsid w:val="00DC2286"/>
    <w:pPr>
      <w:spacing w:after="120" w:line="480" w:lineRule="auto"/>
      <w:ind w:left="283"/>
    </w:pPr>
    <w:rPr>
      <w:lang w:val="en-US" w:eastAsia="en-US"/>
    </w:rPr>
  </w:style>
  <w:style w:type="paragraph" w:styleId="ListParagraph">
    <w:name w:val="List Paragraph"/>
    <w:basedOn w:val="Normal"/>
    <w:qFormat/>
    <w:rsid w:val="00174FEC"/>
    <w:pPr>
      <w:ind w:left="720"/>
      <w:contextualSpacing/>
    </w:pPr>
    <w:rPr>
      <w:lang w:val="en-US" w:eastAsia="en-US"/>
    </w:rPr>
  </w:style>
  <w:style w:type="paragraph" w:styleId="CommentSubject">
    <w:name w:val="annotation subject"/>
    <w:basedOn w:val="CommentText"/>
    <w:link w:val="CommentSubjectChar"/>
    <w:qFormat/>
    <w:rsid w:val="00203C9A"/>
    <w:pPr>
      <w:jc w:val="left"/>
    </w:pPr>
    <w:rPr>
      <w:rFonts w:ascii="Times New Roman" w:hAnsi="Times New Roman"/>
      <w:b/>
      <w:bCs/>
      <w:lang w:val="en-US"/>
    </w:rPr>
  </w:style>
  <w:style w:type="paragraph" w:styleId="NormalWeb">
    <w:name w:val="Normal (Web)"/>
    <w:basedOn w:val="Normal"/>
    <w:semiHidden/>
    <w:unhideWhenUsed/>
    <w:qFormat/>
    <w:rsid w:val="00945A01"/>
  </w:style>
  <w:style w:type="paragraph" w:styleId="Revision">
    <w:name w:val="Revision"/>
    <w:uiPriority w:val="99"/>
    <w:semiHidden/>
    <w:qFormat/>
    <w:rsid w:val="00EF241C"/>
    <w:rPr>
      <w:sz w:val="24"/>
      <w:szCs w:val="24"/>
      <w:lang w:val="en-US" w:eastAsia="en-US"/>
    </w:rPr>
  </w:style>
  <w:style w:type="table" w:styleId="TableGrid">
    <w:name w:val="Table Grid"/>
    <w:basedOn w:val="TableNormal"/>
    <w:rsid w:val="005B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91494"/>
    <w:rPr>
      <w:color w:val="0000FF" w:themeColor="hyperlink"/>
      <w:u w:val="single"/>
    </w:rPr>
  </w:style>
  <w:style w:type="paragraph" w:styleId="Header">
    <w:name w:val="header"/>
    <w:basedOn w:val="Normal"/>
    <w:link w:val="HeaderChar"/>
    <w:uiPriority w:val="99"/>
    <w:unhideWhenUsed/>
    <w:rsid w:val="00E14094"/>
    <w:pPr>
      <w:tabs>
        <w:tab w:val="center" w:pos="4513"/>
        <w:tab w:val="right" w:pos="9026"/>
      </w:tabs>
    </w:pPr>
  </w:style>
  <w:style w:type="character" w:customStyle="1" w:styleId="HeaderChar">
    <w:name w:val="Header Char"/>
    <w:basedOn w:val="DefaultParagraphFont"/>
    <w:link w:val="Header"/>
    <w:uiPriority w:val="99"/>
    <w:rsid w:val="00E14094"/>
    <w:rPr>
      <w:sz w:val="24"/>
      <w:szCs w:val="24"/>
    </w:rPr>
  </w:style>
  <w:style w:type="paragraph" w:styleId="Footer">
    <w:name w:val="footer"/>
    <w:basedOn w:val="Normal"/>
    <w:link w:val="FooterChar"/>
    <w:uiPriority w:val="99"/>
    <w:unhideWhenUsed/>
    <w:rsid w:val="00E14094"/>
    <w:pPr>
      <w:tabs>
        <w:tab w:val="center" w:pos="4513"/>
        <w:tab w:val="right" w:pos="9026"/>
      </w:tabs>
    </w:pPr>
  </w:style>
  <w:style w:type="character" w:customStyle="1" w:styleId="FooterChar">
    <w:name w:val="Footer Char"/>
    <w:basedOn w:val="DefaultParagraphFont"/>
    <w:link w:val="Footer"/>
    <w:uiPriority w:val="99"/>
    <w:rsid w:val="00E14094"/>
    <w:rPr>
      <w:sz w:val="24"/>
      <w:szCs w:val="24"/>
    </w:rPr>
  </w:style>
  <w:style w:type="paragraph" w:customStyle="1" w:styleId="Default">
    <w:name w:val="Default"/>
    <w:rsid w:val="00DD3C02"/>
    <w:pPr>
      <w:autoSpaceDE w:val="0"/>
      <w:autoSpaceDN w:val="0"/>
      <w:adjustRightInd w:val="0"/>
    </w:pPr>
    <w:rPr>
      <w:rFonts w:ascii="Arial" w:hAnsi="Arial" w:cs="Arial"/>
      <w:color w:val="000000"/>
      <w:sz w:val="24"/>
      <w:szCs w:val="24"/>
    </w:rPr>
  </w:style>
  <w:style w:type="character" w:customStyle="1" w:styleId="ListLabel77">
    <w:name w:val="ListLabel 77"/>
    <w:qFormat/>
    <w:rsid w:val="00EA3E00"/>
    <w:rPr>
      <w:rFonts w:cs="Courier New"/>
    </w:rPr>
  </w:style>
  <w:style w:type="paragraph" w:styleId="FootnoteText">
    <w:name w:val="footnote text"/>
    <w:basedOn w:val="Normal"/>
    <w:link w:val="FootnoteTextChar"/>
    <w:semiHidden/>
    <w:unhideWhenUsed/>
    <w:rsid w:val="00F502C5"/>
    <w:rPr>
      <w:sz w:val="20"/>
      <w:szCs w:val="20"/>
    </w:rPr>
  </w:style>
  <w:style w:type="character" w:customStyle="1" w:styleId="FootnoteTextChar">
    <w:name w:val="Footnote Text Char"/>
    <w:basedOn w:val="DefaultParagraphFont"/>
    <w:link w:val="FootnoteText"/>
    <w:semiHidden/>
    <w:rsid w:val="00F502C5"/>
  </w:style>
  <w:style w:type="character" w:styleId="FootnoteReference">
    <w:name w:val="footnote reference"/>
    <w:basedOn w:val="DefaultParagraphFont"/>
    <w:semiHidden/>
    <w:unhideWhenUsed/>
    <w:rsid w:val="00F5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oeHudocDocument>
  <ECRICycleNum/>
  <ECRIState/>
  <ECRITitle>ECRI General Policy 
Recommendation No.2  (revised) on Equality Bodies to combat racism and intolerance at national level [German translation]</ECRITitle>
  <ECRIDocumentType>REC</ECRIDocumentType>
  <ECRIAdoptionDate>2017-12-07</ECRIAdoptionDate>
  <ECRIPublicationDate>2018-02-27</ECRIPublicationDate>
  <ECRILanguage>GER</ECRILanguage>
</CoeHudocDocument>
</file>

<file path=customXml/item6.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8446E-B979-4ECE-BD43-23F7A31EC6C2}"/>
</file>

<file path=customXml/itemProps2.xml><?xml version="1.0" encoding="utf-8"?>
<ds:datastoreItem xmlns:ds="http://schemas.openxmlformats.org/officeDocument/2006/customXml" ds:itemID="{EEDD9240-1F7F-41C6-BE1B-405BAFF6747A}"/>
</file>

<file path=customXml/itemProps3.xml><?xml version="1.0" encoding="utf-8"?>
<ds:datastoreItem xmlns:ds="http://schemas.openxmlformats.org/officeDocument/2006/customXml" ds:itemID="{F57E5BD0-27EB-4A31-BE75-A35F8BA9CB89}"/>
</file>

<file path=customXml/itemProps4.xml><?xml version="1.0" encoding="utf-8"?>
<ds:datastoreItem xmlns:ds="http://schemas.openxmlformats.org/officeDocument/2006/customXml" ds:itemID="{CB129A8B-E0B5-4CEA-99B1-E5BC5E53B1F7}"/>
</file>

<file path=customXml/itemProps5.xml><?xml version="1.0" encoding="utf-8"?>
<ds:datastoreItem xmlns:ds="http://schemas.openxmlformats.org/officeDocument/2006/customXml" ds:itemID="{FE0AA7F0-763B-4BFA-9C52-94562F9CFAA0}"/>
</file>

<file path=customXml/itemProps6.xml><?xml version="1.0" encoding="utf-8"?>
<ds:datastoreItem xmlns:ds="http://schemas.openxmlformats.org/officeDocument/2006/customXml" ds:itemID="{3875CB95-F286-4803-AFFE-A4FF81A2E795}"/>
</file>

<file path=docProps/app.xml><?xml version="1.0" encoding="utf-8"?>
<Properties xmlns="http://schemas.openxmlformats.org/officeDocument/2006/extended-properties" xmlns:vt="http://schemas.openxmlformats.org/officeDocument/2006/docPropsVTypes">
  <Template>Normal</Template>
  <TotalTime>4</TotalTime>
  <Pages>33</Pages>
  <Words>16036</Words>
  <Characters>88201</Characters>
  <Application>Microsoft Office Word</Application>
  <DocSecurity>0</DocSecurity>
  <Lines>735</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 Wolfram</dc:creator>
  <cp:lastModifiedBy>LEHMANN Sylvia</cp:lastModifiedBy>
  <cp:revision>4</cp:revision>
  <cp:lastPrinted>2020-01-10T10:46:00Z</cp:lastPrinted>
  <dcterms:created xsi:type="dcterms:W3CDTF">2020-01-10T10:45:00Z</dcterms:created>
  <dcterms:modified xsi:type="dcterms:W3CDTF">2020-01-10T12:36:00Z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Council of Europe</vt:lpwstr>
  </property>
  <property fmtid="{D5CDD505-2E9C-101B-9397-08002B2CF9AE}" pid="4" name="ContentTypeId">
    <vt:lpwstr>0x0101002B1C97F9D5DBB342A4762976F56D00E5</vt:lpwstr>
  </property>
  <property fmtid="{D5CDD505-2E9C-101B-9397-08002B2CF9AE}" pid="5" name="DocSecurity">
    <vt:i4>0</vt:i4>
  </property>
  <property fmtid="{D5CDD505-2E9C-101B-9397-08002B2CF9AE}" pid="6" name="HyperlinksChanged">
    <vt:bool>true</vt:bool>
  </property>
  <property fmtid="{D5CDD505-2E9C-101B-9397-08002B2CF9AE}" pid="7" name="LinksUpToDate">
    <vt:bool>true</vt:bool>
  </property>
  <property fmtid="{D5CDD505-2E9C-101B-9397-08002B2CF9AE}" pid="8" name="ScaleCrop">
    <vt:bool>true</vt:bool>
  </property>
  <property fmtid="{D5CDD505-2E9C-101B-9397-08002B2CF9AE}" pid="9" name="ShareDoc">
    <vt:bool>true</vt:bool>
  </property>
</Properties>
</file>